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98317" w14:textId="14AFFF17" w:rsidR="00E90E49" w:rsidRPr="00004314" w:rsidRDefault="00E90E49" w:rsidP="00E35559">
      <w:pPr>
        <w:pStyle w:val="3GPPHeader"/>
        <w:spacing w:after="60"/>
        <w:rPr>
          <w:sz w:val="32"/>
          <w:szCs w:val="32"/>
        </w:rPr>
      </w:pPr>
      <w:r w:rsidRPr="00CE0424">
        <w:t xml:space="preserve">3GPP </w:t>
      </w:r>
      <w:r w:rsidRPr="00004314">
        <w:t>TSG-RAN WG</w:t>
      </w:r>
      <w:r w:rsidR="00F20F5C" w:rsidRPr="00004314">
        <w:t>2</w:t>
      </w:r>
      <w:r w:rsidRPr="00004314">
        <w:t xml:space="preserve"> #</w:t>
      </w:r>
      <w:r w:rsidR="00F20F5C" w:rsidRPr="00004314">
        <w:t>1</w:t>
      </w:r>
      <w:r w:rsidR="00C268E6" w:rsidRPr="00004314">
        <w:t>1</w:t>
      </w:r>
      <w:r w:rsidR="000E0CE2" w:rsidRPr="00004314">
        <w:t>6</w:t>
      </w:r>
      <w:r w:rsidR="00004314" w:rsidRPr="00004314">
        <w:t>bis</w:t>
      </w:r>
      <w:r w:rsidRPr="00004314">
        <w:tab/>
      </w:r>
      <w:proofErr w:type="spellStart"/>
      <w:r w:rsidRPr="00004314">
        <w:rPr>
          <w:sz w:val="32"/>
          <w:szCs w:val="32"/>
        </w:rPr>
        <w:t>Tdoc</w:t>
      </w:r>
      <w:proofErr w:type="spellEnd"/>
      <w:r w:rsidRPr="00004314">
        <w:rPr>
          <w:sz w:val="32"/>
          <w:szCs w:val="32"/>
        </w:rPr>
        <w:t xml:space="preserve"> </w:t>
      </w:r>
      <w:r w:rsidR="003F07B5" w:rsidRPr="003F07B5">
        <w:rPr>
          <w:sz w:val="32"/>
          <w:szCs w:val="32"/>
        </w:rPr>
        <w:t>R2-2201553</w:t>
      </w:r>
    </w:p>
    <w:p w14:paraId="3B06DE40" w14:textId="5B142E61" w:rsidR="00E90E49" w:rsidRPr="00CE0424" w:rsidRDefault="00C268E6" w:rsidP="00311702">
      <w:pPr>
        <w:pStyle w:val="3GPPHeader"/>
      </w:pPr>
      <w:r w:rsidRPr="00004314">
        <w:t xml:space="preserve">Electronic meeting, </w:t>
      </w:r>
      <w:r w:rsidR="002270E9" w:rsidRPr="00004314">
        <w:t>202</w:t>
      </w:r>
      <w:r w:rsidR="00004314" w:rsidRPr="00004314">
        <w:t>2</w:t>
      </w:r>
      <w:r w:rsidR="002270E9" w:rsidRPr="00004314">
        <w:t>-</w:t>
      </w:r>
      <w:r w:rsidR="00004314" w:rsidRPr="00004314">
        <w:t>01</w:t>
      </w:r>
      <w:r w:rsidR="002270E9" w:rsidRPr="00004314">
        <w:t>-1</w:t>
      </w:r>
      <w:r w:rsidR="00004314" w:rsidRPr="00004314">
        <w:t>7</w:t>
      </w:r>
      <w:r w:rsidR="002270E9" w:rsidRPr="00004314">
        <w:t xml:space="preserve"> - 202</w:t>
      </w:r>
      <w:r w:rsidR="00004314" w:rsidRPr="00004314">
        <w:t>2</w:t>
      </w:r>
      <w:r w:rsidR="002270E9" w:rsidRPr="00004314">
        <w:t>-</w:t>
      </w:r>
      <w:r w:rsidR="00004314" w:rsidRPr="00004314">
        <w:t>0</w:t>
      </w:r>
      <w:r w:rsidR="000E0CE2" w:rsidRPr="00004314">
        <w:t>1</w:t>
      </w:r>
      <w:r w:rsidR="00817010" w:rsidRPr="00004314">
        <w:t>-2</w:t>
      </w:r>
      <w:r w:rsidR="00004314" w:rsidRPr="00004314">
        <w:t>5</w:t>
      </w:r>
    </w:p>
    <w:p w14:paraId="11890F60" w14:textId="77777777" w:rsidR="00E90E49" w:rsidRPr="00CE0424" w:rsidRDefault="00E90E49" w:rsidP="00357380">
      <w:pPr>
        <w:pStyle w:val="3GPPHeader"/>
      </w:pPr>
    </w:p>
    <w:p w14:paraId="521F8C59" w14:textId="26144094" w:rsidR="00E90E49" w:rsidRPr="00CE0424" w:rsidRDefault="00E90E49" w:rsidP="00311702">
      <w:pPr>
        <w:pStyle w:val="3GPPHeader"/>
        <w:rPr>
          <w:sz w:val="22"/>
          <w:szCs w:val="22"/>
        </w:rPr>
      </w:pPr>
      <w:r w:rsidRPr="00F74055">
        <w:rPr>
          <w:sz w:val="22"/>
          <w:szCs w:val="22"/>
        </w:rPr>
        <w:t>Agenda Item:</w:t>
      </w:r>
      <w:r w:rsidRPr="00F74055">
        <w:rPr>
          <w:sz w:val="22"/>
          <w:szCs w:val="22"/>
        </w:rPr>
        <w:tab/>
      </w:r>
      <w:r w:rsidR="006668F2" w:rsidRPr="006668F2">
        <w:rPr>
          <w:sz w:val="22"/>
          <w:szCs w:val="22"/>
        </w:rPr>
        <w:t>8.19.1</w:t>
      </w:r>
      <w:r w:rsidR="006668F2">
        <w:rPr>
          <w:sz w:val="22"/>
          <w:szCs w:val="22"/>
        </w:rPr>
        <w:t xml:space="preserve"> </w:t>
      </w:r>
      <w:r w:rsidR="006668F2" w:rsidRPr="006668F2">
        <w:rPr>
          <w:sz w:val="22"/>
          <w:szCs w:val="22"/>
        </w:rPr>
        <w:t>Common signalling framework</w:t>
      </w:r>
    </w:p>
    <w:p w14:paraId="1F580E3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025622B" w14:textId="469C47FB" w:rsidR="00E90E49" w:rsidRPr="00CE0424" w:rsidRDefault="003D3C45" w:rsidP="00311702">
      <w:pPr>
        <w:pStyle w:val="3GPPHeader"/>
        <w:rPr>
          <w:sz w:val="22"/>
          <w:szCs w:val="22"/>
        </w:rPr>
      </w:pPr>
      <w:r>
        <w:rPr>
          <w:sz w:val="22"/>
          <w:szCs w:val="22"/>
        </w:rPr>
        <w:t>Title:</w:t>
      </w:r>
      <w:r w:rsidR="00E90E49" w:rsidRPr="00CE0424">
        <w:rPr>
          <w:sz w:val="22"/>
          <w:szCs w:val="22"/>
        </w:rPr>
        <w:tab/>
      </w:r>
      <w:r w:rsidR="00E812C5">
        <w:rPr>
          <w:sz w:val="22"/>
          <w:szCs w:val="22"/>
        </w:rPr>
        <w:t>RACH partitioning for Rel-17 features</w:t>
      </w:r>
    </w:p>
    <w:p w14:paraId="2DB84DF0" w14:textId="3F35A56C" w:rsidR="00E90E49" w:rsidRPr="004C5EEF" w:rsidRDefault="00E90E49" w:rsidP="004C5EEF">
      <w:pPr>
        <w:pStyle w:val="3GPPHeader"/>
        <w:rPr>
          <w:sz w:val="22"/>
          <w:szCs w:val="22"/>
        </w:rPr>
      </w:pPr>
      <w:r w:rsidRPr="00CE0424">
        <w:rPr>
          <w:sz w:val="22"/>
          <w:szCs w:val="22"/>
        </w:rPr>
        <w:t>Document for:</w:t>
      </w:r>
      <w:r w:rsidRPr="00CE0424">
        <w:rPr>
          <w:sz w:val="22"/>
          <w:szCs w:val="22"/>
        </w:rPr>
        <w:tab/>
      </w:r>
      <w:r w:rsidRPr="00E26617">
        <w:rPr>
          <w:sz w:val="22"/>
          <w:szCs w:val="22"/>
        </w:rPr>
        <w:t>Discussion</w:t>
      </w:r>
      <w:r w:rsidR="00706265">
        <w:rPr>
          <w:sz w:val="22"/>
          <w:szCs w:val="22"/>
        </w:rPr>
        <w:t>, Decision</w:t>
      </w:r>
    </w:p>
    <w:p w14:paraId="1292A996" w14:textId="77777777" w:rsidR="00E90E49" w:rsidRPr="00CE0424" w:rsidRDefault="00230D18" w:rsidP="00CE0424">
      <w:pPr>
        <w:pStyle w:val="Heading1"/>
      </w:pPr>
      <w:r>
        <w:t>1</w:t>
      </w:r>
      <w:r>
        <w:tab/>
      </w:r>
      <w:r w:rsidR="00E90E49" w:rsidRPr="00CE0424">
        <w:t>Introduction</w:t>
      </w:r>
    </w:p>
    <w:p w14:paraId="15357CA0" w14:textId="2B8A6B43" w:rsidR="00E92E82" w:rsidRDefault="00E10E91" w:rsidP="00A42DF1">
      <w:pPr>
        <w:pStyle w:val="BodyText"/>
        <w:spacing w:after="240"/>
      </w:pPr>
      <w:r>
        <w:t xml:space="preserve">RACH partitioning is being considered for several Rel-17 </w:t>
      </w:r>
      <w:r w:rsidR="00E92E82">
        <w:t>features</w:t>
      </w:r>
      <w:r>
        <w:t xml:space="preserve"> to </w:t>
      </w:r>
      <w:r w:rsidR="00E92E82">
        <w:t>enable</w:t>
      </w:r>
      <w:r>
        <w:t xml:space="preserve"> early identification of </w:t>
      </w:r>
      <w:r w:rsidR="00DB2D67">
        <w:t>the</w:t>
      </w:r>
      <w:r>
        <w:t xml:space="preserve"> feature </w:t>
      </w:r>
      <w:r w:rsidR="00E92E82">
        <w:t xml:space="preserve">on the </w:t>
      </w:r>
      <w:r>
        <w:t xml:space="preserve">network </w:t>
      </w:r>
      <w:r w:rsidR="00E92E82">
        <w:t xml:space="preserve">side </w:t>
      </w:r>
      <w:r>
        <w:t xml:space="preserve">(see table below). </w:t>
      </w:r>
      <w:r w:rsidR="00E92E82">
        <w:t xml:space="preserve">In this contribution we discuss some general aspects of RACH partitioning and </w:t>
      </w:r>
      <w:r w:rsidR="0060563B">
        <w:t>describe what a common solution for RACH partitioning for the Rel-17 features might look like.</w:t>
      </w:r>
    </w:p>
    <w:tbl>
      <w:tblPr>
        <w:tblStyle w:val="TableGrid1"/>
        <w:tblW w:w="0" w:type="auto"/>
        <w:jc w:val="center"/>
        <w:tblLook w:val="04A0" w:firstRow="1" w:lastRow="0" w:firstColumn="1" w:lastColumn="0" w:noHBand="0" w:noVBand="1"/>
      </w:tblPr>
      <w:tblGrid>
        <w:gridCol w:w="1413"/>
        <w:gridCol w:w="7603"/>
      </w:tblGrid>
      <w:tr w:rsidR="00E10E91" w:rsidRPr="00E10E91" w14:paraId="438E791E" w14:textId="77777777" w:rsidTr="00A42DF1">
        <w:trPr>
          <w:jc w:val="center"/>
        </w:trPr>
        <w:tc>
          <w:tcPr>
            <w:tcW w:w="1413" w:type="dxa"/>
            <w:shd w:val="clear" w:color="auto" w:fill="D9D9D9" w:themeFill="background1" w:themeFillShade="D9"/>
          </w:tcPr>
          <w:p w14:paraId="12673BA7" w14:textId="77777777" w:rsidR="00E10E91" w:rsidRPr="00CB44D7" w:rsidRDefault="00E10E91" w:rsidP="00E10E91">
            <w:pPr>
              <w:overflowPunct/>
              <w:autoSpaceDE/>
              <w:autoSpaceDN/>
              <w:adjustRightInd/>
              <w:spacing w:after="0"/>
              <w:textAlignment w:val="auto"/>
              <w:rPr>
                <w:rFonts w:ascii="Arial" w:hAnsi="Arial" w:cs="Arial"/>
                <w:b/>
                <w:sz w:val="20"/>
                <w:szCs w:val="20"/>
                <w:lang w:val="sv-SE" w:eastAsia="en-US"/>
              </w:rPr>
            </w:pPr>
            <w:r w:rsidRPr="00A42DF1">
              <w:rPr>
                <w:rFonts w:ascii="Arial" w:hAnsi="Arial" w:cs="Arial"/>
                <w:b/>
                <w:lang w:val="sv-SE" w:eastAsia="en-US"/>
              </w:rPr>
              <w:t>Feature</w:t>
            </w:r>
          </w:p>
        </w:tc>
        <w:tc>
          <w:tcPr>
            <w:tcW w:w="7603" w:type="dxa"/>
            <w:shd w:val="clear" w:color="auto" w:fill="D9D9D9" w:themeFill="background1" w:themeFillShade="D9"/>
          </w:tcPr>
          <w:p w14:paraId="1D6840E6" w14:textId="6A0CCCF5" w:rsidR="00E10E91" w:rsidRPr="00CB44D7" w:rsidRDefault="00E10E91" w:rsidP="00E10E91">
            <w:pPr>
              <w:overflowPunct/>
              <w:autoSpaceDE/>
              <w:autoSpaceDN/>
              <w:adjustRightInd/>
              <w:spacing w:after="0"/>
              <w:textAlignment w:val="auto"/>
              <w:rPr>
                <w:rFonts w:ascii="Arial" w:hAnsi="Arial" w:cs="Arial"/>
                <w:b/>
                <w:sz w:val="20"/>
                <w:szCs w:val="20"/>
                <w:lang w:eastAsia="en-US"/>
              </w:rPr>
            </w:pPr>
            <w:r w:rsidRPr="00A42DF1">
              <w:rPr>
                <w:rFonts w:ascii="Arial" w:hAnsi="Arial" w:cs="Arial"/>
                <w:b/>
                <w:lang w:eastAsia="en-US"/>
              </w:rPr>
              <w:t xml:space="preserve">Reason for </w:t>
            </w:r>
            <w:r w:rsidR="00603AFE" w:rsidRPr="00A42DF1">
              <w:rPr>
                <w:rFonts w:ascii="Arial" w:hAnsi="Arial" w:cs="Arial"/>
                <w:b/>
                <w:lang w:eastAsia="en-US"/>
              </w:rPr>
              <w:t>RACH</w:t>
            </w:r>
            <w:r w:rsidRPr="00A42DF1">
              <w:rPr>
                <w:rFonts w:ascii="Arial" w:hAnsi="Arial" w:cs="Arial"/>
                <w:b/>
                <w:lang w:eastAsia="en-US"/>
              </w:rPr>
              <w:t xml:space="preserve"> indication</w:t>
            </w:r>
          </w:p>
        </w:tc>
      </w:tr>
      <w:tr w:rsidR="00E10E91" w:rsidRPr="00E10E91" w14:paraId="6F3678E0" w14:textId="77777777" w:rsidTr="00A42DF1">
        <w:trPr>
          <w:jc w:val="center"/>
        </w:trPr>
        <w:tc>
          <w:tcPr>
            <w:tcW w:w="1413" w:type="dxa"/>
          </w:tcPr>
          <w:p w14:paraId="4BC94B44" w14:textId="4B30E7E4"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RedCap</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_Ref70945771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2230B0">
              <w:rPr>
                <w:rFonts w:ascii="Arial" w:hAnsi="Arial" w:cs="Arial"/>
                <w:lang w:val="sv-SE" w:eastAsia="en-US"/>
              </w:rPr>
              <w:t>[1]</w:t>
            </w:r>
            <w:r w:rsidR="001935C7" w:rsidRPr="00CB44D7">
              <w:rPr>
                <w:rFonts w:ascii="Arial" w:hAnsi="Arial" w:cs="Arial"/>
                <w:lang w:val="sv-SE" w:eastAsia="en-US"/>
              </w:rPr>
              <w:fldChar w:fldCharType="end"/>
            </w:r>
          </w:p>
        </w:tc>
        <w:tc>
          <w:tcPr>
            <w:tcW w:w="7603" w:type="dxa"/>
          </w:tcPr>
          <w:p w14:paraId="0459419B" w14:textId="650A1BE2"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reduced capabilities to the network </w:t>
            </w:r>
            <w:r w:rsidR="00A42DF1">
              <w:rPr>
                <w:rFonts w:ascii="Arial" w:hAnsi="Arial" w:cs="Arial"/>
                <w:lang w:eastAsia="en-US"/>
              </w:rPr>
              <w:t xml:space="preserve">in MSG1 so </w:t>
            </w:r>
            <w:r w:rsidRPr="00A42DF1">
              <w:rPr>
                <w:rFonts w:ascii="Arial" w:hAnsi="Arial" w:cs="Arial"/>
                <w:lang w:eastAsia="en-US"/>
              </w:rPr>
              <w:t>that the network can adapt subsequent transmissions</w:t>
            </w:r>
          </w:p>
        </w:tc>
      </w:tr>
      <w:tr w:rsidR="00E10E91" w:rsidRPr="00E10E91" w14:paraId="5A19F8EF" w14:textId="77777777" w:rsidTr="00A42DF1">
        <w:trPr>
          <w:jc w:val="center"/>
        </w:trPr>
        <w:tc>
          <w:tcPr>
            <w:tcW w:w="1413" w:type="dxa"/>
          </w:tcPr>
          <w:p w14:paraId="17C8119A" w14:textId="73C03969"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SDT</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_Ref70945783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2230B0">
              <w:rPr>
                <w:rFonts w:ascii="Arial" w:hAnsi="Arial" w:cs="Arial"/>
                <w:lang w:val="sv-SE" w:eastAsia="en-US"/>
              </w:rPr>
              <w:t>[2]</w:t>
            </w:r>
            <w:r w:rsidR="001935C7" w:rsidRPr="00CB44D7">
              <w:rPr>
                <w:rFonts w:ascii="Arial" w:hAnsi="Arial" w:cs="Arial"/>
                <w:lang w:val="sv-SE" w:eastAsia="en-US"/>
              </w:rPr>
              <w:fldChar w:fldCharType="end"/>
            </w:r>
          </w:p>
        </w:tc>
        <w:tc>
          <w:tcPr>
            <w:tcW w:w="7603" w:type="dxa"/>
          </w:tcPr>
          <w:p w14:paraId="71580DE5" w14:textId="65E258A0"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request a larger MSG3 size (or MSGA </w:t>
            </w:r>
            <w:r w:rsidR="0060563B" w:rsidRPr="00A42DF1">
              <w:rPr>
                <w:rFonts w:ascii="Arial" w:hAnsi="Arial" w:cs="Arial"/>
                <w:lang w:eastAsia="en-US"/>
              </w:rPr>
              <w:t xml:space="preserve">size </w:t>
            </w:r>
            <w:r w:rsidRPr="00A42DF1">
              <w:rPr>
                <w:rFonts w:ascii="Arial" w:hAnsi="Arial" w:cs="Arial"/>
                <w:lang w:eastAsia="en-US"/>
              </w:rPr>
              <w:t>in case of 2-step RA)</w:t>
            </w:r>
          </w:p>
        </w:tc>
      </w:tr>
      <w:tr w:rsidR="00E10E91" w:rsidRPr="00E10E91" w14:paraId="1A252C1D" w14:textId="77777777" w:rsidTr="00A42DF1">
        <w:trPr>
          <w:jc w:val="center"/>
        </w:trPr>
        <w:tc>
          <w:tcPr>
            <w:tcW w:w="1413" w:type="dxa"/>
          </w:tcPr>
          <w:p w14:paraId="316FD4A6" w14:textId="08C813DD"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A42DF1">
              <w:rPr>
                <w:rFonts w:ascii="Arial" w:hAnsi="Arial" w:cs="Arial"/>
                <w:lang w:val="sv-SE" w:eastAsia="en-US"/>
              </w:rPr>
              <w:t>CovEnh</w:t>
            </w:r>
            <w:r w:rsidR="001935C7" w:rsidRPr="00A42DF1">
              <w:rPr>
                <w:rFonts w:ascii="Arial" w:hAnsi="Arial" w:cs="Arial"/>
                <w:lang w:val="sv-SE" w:eastAsia="en-US"/>
              </w:rPr>
              <w:t xml:space="preserve"> </w:t>
            </w:r>
            <w:r w:rsidR="001935C7" w:rsidRPr="00CB44D7">
              <w:rPr>
                <w:rFonts w:ascii="Arial" w:hAnsi="Arial" w:cs="Arial"/>
                <w:lang w:val="sv-SE" w:eastAsia="en-US"/>
              </w:rPr>
              <w:fldChar w:fldCharType="begin"/>
            </w:r>
            <w:r w:rsidR="001935C7" w:rsidRPr="00A42DF1">
              <w:rPr>
                <w:rFonts w:ascii="Arial" w:hAnsi="Arial" w:cs="Arial"/>
                <w:lang w:val="sv-SE" w:eastAsia="en-US"/>
              </w:rPr>
              <w:instrText xml:space="preserve"> REF _Ref70945792 \r \h </w:instrText>
            </w:r>
            <w:r w:rsidR="00A42DF1">
              <w:rPr>
                <w:rFonts w:ascii="Arial" w:hAnsi="Arial" w:cs="Arial"/>
                <w:lang w:val="sv-SE" w:eastAsia="en-US"/>
              </w:rPr>
              <w:instrText xml:space="preserve"> \* MERGEFORMAT </w:instrText>
            </w:r>
            <w:r w:rsidR="001935C7" w:rsidRPr="00CB44D7">
              <w:rPr>
                <w:rFonts w:ascii="Arial" w:hAnsi="Arial" w:cs="Arial"/>
                <w:lang w:val="sv-SE" w:eastAsia="en-US"/>
              </w:rPr>
            </w:r>
            <w:r w:rsidR="001935C7" w:rsidRPr="00CB44D7">
              <w:rPr>
                <w:rFonts w:ascii="Arial" w:hAnsi="Arial" w:cs="Arial"/>
                <w:lang w:val="sv-SE" w:eastAsia="en-US"/>
              </w:rPr>
              <w:fldChar w:fldCharType="separate"/>
            </w:r>
            <w:r w:rsidR="002230B0">
              <w:rPr>
                <w:rFonts w:ascii="Arial" w:hAnsi="Arial" w:cs="Arial"/>
                <w:lang w:val="sv-SE" w:eastAsia="en-US"/>
              </w:rPr>
              <w:t>[3]</w:t>
            </w:r>
            <w:r w:rsidR="001935C7" w:rsidRPr="00CB44D7">
              <w:rPr>
                <w:rFonts w:ascii="Arial" w:hAnsi="Arial" w:cs="Arial"/>
                <w:lang w:val="sv-SE" w:eastAsia="en-US"/>
              </w:rPr>
              <w:fldChar w:fldCharType="end"/>
            </w:r>
          </w:p>
        </w:tc>
        <w:tc>
          <w:tcPr>
            <w:tcW w:w="7603" w:type="dxa"/>
          </w:tcPr>
          <w:p w14:paraId="2A3DA665" w14:textId="5A393E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 xml:space="preserve">To indicate need for coverage enhancement (esp. for </w:t>
            </w:r>
            <w:r w:rsidR="00CE580D">
              <w:rPr>
                <w:rFonts w:ascii="Arial" w:hAnsi="Arial" w:cs="Arial"/>
                <w:lang w:eastAsia="en-US"/>
              </w:rPr>
              <w:t xml:space="preserve">request of </w:t>
            </w:r>
            <w:r w:rsidRPr="00A42DF1">
              <w:rPr>
                <w:rFonts w:ascii="Arial" w:hAnsi="Arial" w:cs="Arial"/>
                <w:lang w:eastAsia="en-US"/>
              </w:rPr>
              <w:t>MSG3</w:t>
            </w:r>
            <w:r w:rsidR="00CE580D">
              <w:rPr>
                <w:rFonts w:ascii="Arial" w:hAnsi="Arial" w:cs="Arial"/>
                <w:lang w:eastAsia="en-US"/>
              </w:rPr>
              <w:t xml:space="preserve"> repetition</w:t>
            </w:r>
            <w:r w:rsidRPr="00A42DF1">
              <w:rPr>
                <w:rFonts w:ascii="Arial" w:hAnsi="Arial" w:cs="Arial"/>
                <w:lang w:eastAsia="en-US"/>
              </w:rPr>
              <w:t>)</w:t>
            </w:r>
          </w:p>
        </w:tc>
      </w:tr>
      <w:tr w:rsidR="00E10E91" w:rsidRPr="00E10E91" w14:paraId="0E32BDF0" w14:textId="77777777" w:rsidTr="00A42DF1">
        <w:trPr>
          <w:jc w:val="center"/>
        </w:trPr>
        <w:tc>
          <w:tcPr>
            <w:tcW w:w="1413" w:type="dxa"/>
          </w:tcPr>
          <w:p w14:paraId="1F1A0996" w14:textId="0102E5AE" w:rsidR="00E10E91" w:rsidRPr="00CB44D7" w:rsidRDefault="00E10E91" w:rsidP="00E10E91">
            <w:pPr>
              <w:overflowPunct/>
              <w:autoSpaceDE/>
              <w:autoSpaceDN/>
              <w:adjustRightInd/>
              <w:spacing w:after="0"/>
              <w:textAlignment w:val="auto"/>
              <w:rPr>
                <w:rFonts w:ascii="Arial" w:hAnsi="Arial" w:cs="Arial"/>
                <w:sz w:val="20"/>
                <w:szCs w:val="20"/>
                <w:lang w:val="sv-SE" w:eastAsia="en-US"/>
              </w:rPr>
            </w:pPr>
            <w:r w:rsidRPr="00857C26">
              <w:rPr>
                <w:rFonts w:ascii="Arial" w:hAnsi="Arial" w:cs="Arial"/>
                <w:lang w:val="sv-SE" w:eastAsia="en-US"/>
              </w:rPr>
              <w:t>Slicing</w:t>
            </w:r>
            <w:r w:rsidR="001935C7" w:rsidRPr="00857C26">
              <w:rPr>
                <w:rFonts w:ascii="Arial" w:hAnsi="Arial" w:cs="Arial"/>
                <w:lang w:val="sv-SE" w:eastAsia="en-US"/>
              </w:rPr>
              <w:t xml:space="preserve"> </w:t>
            </w:r>
            <w:r w:rsidR="003F268F" w:rsidRPr="00CB44D7">
              <w:rPr>
                <w:rFonts w:ascii="Arial" w:hAnsi="Arial" w:cs="Arial"/>
                <w:lang w:val="sv-SE" w:eastAsia="en-US"/>
              </w:rPr>
              <w:fldChar w:fldCharType="begin"/>
            </w:r>
            <w:r w:rsidR="003F268F" w:rsidRPr="00857C26">
              <w:rPr>
                <w:rFonts w:ascii="Arial" w:hAnsi="Arial" w:cs="Arial"/>
                <w:lang w:val="sv-SE" w:eastAsia="en-US"/>
              </w:rPr>
              <w:instrText xml:space="preserve"> REF _Ref78900615 \r \h </w:instrText>
            </w:r>
            <w:r w:rsidR="00857C26">
              <w:rPr>
                <w:rFonts w:ascii="Arial" w:hAnsi="Arial" w:cs="Arial"/>
                <w:sz w:val="20"/>
                <w:szCs w:val="20"/>
                <w:lang w:val="sv-SE" w:eastAsia="en-US"/>
              </w:rPr>
              <w:instrText xml:space="preserve"> \* MERGEFORMAT </w:instrText>
            </w:r>
            <w:r w:rsidR="003F268F" w:rsidRPr="00CB44D7">
              <w:rPr>
                <w:rFonts w:ascii="Arial" w:hAnsi="Arial" w:cs="Arial"/>
                <w:lang w:val="sv-SE" w:eastAsia="en-US"/>
              </w:rPr>
            </w:r>
            <w:r w:rsidR="003F268F" w:rsidRPr="00CB44D7">
              <w:rPr>
                <w:rFonts w:ascii="Arial" w:hAnsi="Arial" w:cs="Arial"/>
                <w:lang w:val="sv-SE" w:eastAsia="en-US"/>
              </w:rPr>
              <w:fldChar w:fldCharType="separate"/>
            </w:r>
            <w:r w:rsidR="002230B0">
              <w:rPr>
                <w:rFonts w:ascii="Arial" w:hAnsi="Arial" w:cs="Arial"/>
                <w:lang w:val="sv-SE" w:eastAsia="en-US"/>
              </w:rPr>
              <w:t>[4]</w:t>
            </w:r>
            <w:r w:rsidR="003F268F" w:rsidRPr="00CB44D7">
              <w:rPr>
                <w:rFonts w:ascii="Arial" w:hAnsi="Arial" w:cs="Arial"/>
                <w:lang w:val="sv-SE" w:eastAsia="en-US"/>
              </w:rPr>
              <w:fldChar w:fldCharType="end"/>
            </w:r>
          </w:p>
        </w:tc>
        <w:tc>
          <w:tcPr>
            <w:tcW w:w="7603" w:type="dxa"/>
          </w:tcPr>
          <w:p w14:paraId="44EE8A0C" w14:textId="77777777" w:rsidR="00E10E91" w:rsidRPr="00CB44D7" w:rsidRDefault="00E10E91" w:rsidP="00E10E91">
            <w:pPr>
              <w:overflowPunct/>
              <w:autoSpaceDE/>
              <w:autoSpaceDN/>
              <w:adjustRightInd/>
              <w:spacing w:after="0"/>
              <w:textAlignment w:val="auto"/>
              <w:rPr>
                <w:rFonts w:ascii="Arial" w:hAnsi="Arial" w:cs="Arial"/>
                <w:sz w:val="20"/>
                <w:szCs w:val="20"/>
                <w:lang w:eastAsia="en-US"/>
              </w:rPr>
            </w:pPr>
            <w:r w:rsidRPr="00A42DF1">
              <w:rPr>
                <w:rFonts w:ascii="Arial" w:hAnsi="Arial" w:cs="Arial"/>
                <w:lang w:eastAsia="en-US"/>
              </w:rPr>
              <w:t>To indicate high priority slice to the network and to achieve slice isolation also for RACH</w:t>
            </w:r>
          </w:p>
        </w:tc>
      </w:tr>
    </w:tbl>
    <w:p w14:paraId="471F815B" w14:textId="48C2F097" w:rsidR="00B0697A" w:rsidRDefault="00B0697A" w:rsidP="00B0697A">
      <w:pPr>
        <w:pStyle w:val="BodyText"/>
        <w:rPr>
          <w:lang w:val="en-US"/>
        </w:rPr>
      </w:pPr>
    </w:p>
    <w:p w14:paraId="698C6685" w14:textId="5F08EC29" w:rsidR="00E10E91" w:rsidRPr="00E10E91" w:rsidRDefault="00DB2D67" w:rsidP="00A42DF1">
      <w:pPr>
        <w:pStyle w:val="BodyText"/>
        <w:spacing w:before="240"/>
        <w:rPr>
          <w:lang w:val="en-US"/>
        </w:rPr>
      </w:pPr>
      <w:r>
        <w:rPr>
          <w:lang w:val="en-US"/>
        </w:rPr>
        <w:t xml:space="preserve">A note on terminology: in this contribution </w:t>
      </w:r>
      <w:r w:rsidR="00487D1C">
        <w:rPr>
          <w:lang w:val="en-US"/>
        </w:rPr>
        <w:t>RACH configuration denotes an independent set of PRACH slots</w:t>
      </w:r>
      <w:r w:rsidR="00A87D73">
        <w:rPr>
          <w:lang w:val="en-US"/>
        </w:rPr>
        <w:t>.</w:t>
      </w:r>
      <w:r w:rsidR="00487D1C">
        <w:rPr>
          <w:lang w:val="en-US"/>
        </w:rPr>
        <w:t xml:space="preserve"> </w:t>
      </w:r>
      <w:r w:rsidR="00A87D73">
        <w:rPr>
          <w:lang w:val="en-US"/>
        </w:rPr>
        <w:t>T</w:t>
      </w:r>
      <w:r w:rsidR="00487D1C">
        <w:rPr>
          <w:lang w:val="en-US"/>
        </w:rPr>
        <w:t xml:space="preserve">heir periodicity, </w:t>
      </w:r>
      <w:r>
        <w:rPr>
          <w:lang w:val="en-US"/>
        </w:rPr>
        <w:t>RACH resources</w:t>
      </w:r>
      <w:r w:rsidR="00487D1C">
        <w:rPr>
          <w:lang w:val="en-US"/>
        </w:rPr>
        <w:t xml:space="preserve"> or RACH occasions (ROs)</w:t>
      </w:r>
      <w:r>
        <w:rPr>
          <w:lang w:val="en-US"/>
        </w:rPr>
        <w:t xml:space="preserve"> refer to the time/frequency resources</w:t>
      </w:r>
      <w:r w:rsidR="00487D1C">
        <w:rPr>
          <w:lang w:val="en-US"/>
        </w:rPr>
        <w:t xml:space="preserve"> that compose a PRACH slot, each of them containing 64 preambles and </w:t>
      </w:r>
      <w:r w:rsidR="00A87D73">
        <w:rPr>
          <w:lang w:val="en-US"/>
        </w:rPr>
        <w:t xml:space="preserve">is </w:t>
      </w:r>
      <w:r w:rsidR="00487D1C">
        <w:rPr>
          <w:lang w:val="en-US"/>
        </w:rPr>
        <w:t>associated with an RNTI value. RACH partition denotes a set of contiguous preambles within the same RO.</w:t>
      </w:r>
      <w:r w:rsidR="002B2EB9">
        <w:rPr>
          <w:lang w:val="en-US"/>
        </w:rPr>
        <w:t xml:space="preserve"> Preamble set is used in the broad sense of preambles grouped together according to some meaning, that may be located in the same or different ROs or time-frequency resources. </w:t>
      </w:r>
    </w:p>
    <w:p w14:paraId="235C3CB7" w14:textId="34B6F6D9" w:rsidR="004000E8" w:rsidRDefault="00230D18" w:rsidP="00CE0424">
      <w:pPr>
        <w:pStyle w:val="Heading1"/>
      </w:pPr>
      <w:bookmarkStart w:id="0" w:name="_Ref178064866"/>
      <w:r>
        <w:t>2</w:t>
      </w:r>
      <w:r>
        <w:tab/>
      </w:r>
      <w:r w:rsidR="004000E8" w:rsidRPr="00CE0424">
        <w:t>Discussion</w:t>
      </w:r>
      <w:bookmarkEnd w:id="0"/>
    </w:p>
    <w:p w14:paraId="6D9DF40D" w14:textId="107A0B79" w:rsidR="00BC53AE" w:rsidRDefault="00487D1C" w:rsidP="00267E66">
      <w:pPr>
        <w:pStyle w:val="Heading2"/>
      </w:pPr>
      <w:r>
        <w:t>2.1</w:t>
      </w:r>
      <w:r>
        <w:tab/>
      </w:r>
      <w:r w:rsidR="00267E66">
        <w:t>RRC Specification CR</w:t>
      </w:r>
    </w:p>
    <w:p w14:paraId="7EC5A33D" w14:textId="468612D5" w:rsidR="00267E66" w:rsidRPr="00267E66" w:rsidRDefault="00267E66" w:rsidP="00267E66">
      <w:pPr>
        <w:pStyle w:val="BodyText"/>
      </w:pPr>
      <w:r>
        <w:t xml:space="preserve">In the running CR it is present a definition for the </w:t>
      </w:r>
      <w:proofErr w:type="spellStart"/>
      <w:r w:rsidRPr="007C0068">
        <w:rPr>
          <w:i/>
          <w:iCs/>
        </w:rPr>
        <w:t>FeatureCombination</w:t>
      </w:r>
      <w:proofErr w:type="spellEnd"/>
      <w:r>
        <w:t xml:space="preserve"> which determines which features are associated to a certain set of preambles (reported below).</w:t>
      </w:r>
    </w:p>
    <w:p w14:paraId="7977474A" w14:textId="77777777" w:rsidR="00267E66" w:rsidRPr="00A0245A" w:rsidRDefault="00267E66" w:rsidP="00267E66">
      <w:pPr>
        <w:pStyle w:val="Heading4"/>
      </w:pPr>
      <w:r>
        <w:t>–</w:t>
      </w:r>
      <w:r>
        <w:tab/>
      </w:r>
      <w:r>
        <w:rPr>
          <w:i/>
          <w:lang w:val="sv-SE"/>
        </w:rPr>
        <w:t>FeatureCombination</w:t>
      </w:r>
    </w:p>
    <w:p w14:paraId="6FF6D532" w14:textId="77777777" w:rsidR="00267E66" w:rsidRDefault="00267E66" w:rsidP="00267E66">
      <w:r>
        <w:t xml:space="preserve">The IE </w:t>
      </w:r>
      <w:proofErr w:type="spellStart"/>
      <w:r>
        <w:t>FeatureCombination</w:t>
      </w:r>
      <w:proofErr w:type="spellEnd"/>
      <w:r>
        <w:t xml:space="preserve"> indicates a combination of features and is used to indicate which combination of features a RA partition is associated with. </w:t>
      </w:r>
    </w:p>
    <w:p w14:paraId="6B5DCDFB" w14:textId="77777777" w:rsidR="00267E66" w:rsidRDefault="00267E66" w:rsidP="00267E66">
      <w:pPr>
        <w:pStyle w:val="TH"/>
      </w:pPr>
      <w:r>
        <w:rPr>
          <w:i/>
          <w:lang w:val="sv-SE"/>
        </w:rPr>
        <w:t>FeatureCombination</w:t>
      </w:r>
      <w:r>
        <w:t xml:space="preserve"> information element</w:t>
      </w:r>
    </w:p>
    <w:p w14:paraId="08B408E7" w14:textId="77777777" w:rsidR="00267E66" w:rsidRDefault="00267E66" w:rsidP="00267E66">
      <w:pPr>
        <w:pStyle w:val="PL"/>
        <w:rPr>
          <w:color w:val="808080"/>
        </w:rPr>
      </w:pPr>
      <w:r>
        <w:rPr>
          <w:color w:val="808080"/>
        </w:rPr>
        <w:t>-- ASN1START</w:t>
      </w:r>
    </w:p>
    <w:p w14:paraId="7DC63CFD" w14:textId="77777777" w:rsidR="00267E66" w:rsidRDefault="00267E66" w:rsidP="00267E66">
      <w:pPr>
        <w:pStyle w:val="PL"/>
        <w:rPr>
          <w:color w:val="808080"/>
        </w:rPr>
      </w:pPr>
      <w:r>
        <w:rPr>
          <w:color w:val="808080"/>
        </w:rPr>
        <w:t>-- TAG-FEATURECOMBINATION-START</w:t>
      </w:r>
    </w:p>
    <w:p w14:paraId="391EA328" w14:textId="77777777" w:rsidR="00267E66" w:rsidRDefault="00267E66" w:rsidP="00267E66">
      <w:pPr>
        <w:pStyle w:val="PL"/>
        <w:rPr>
          <w:color w:val="808080"/>
        </w:rPr>
      </w:pPr>
    </w:p>
    <w:p w14:paraId="67660913" w14:textId="77777777" w:rsidR="00267E66" w:rsidRPr="00B62387" w:rsidRDefault="00267E66" w:rsidP="00267E66">
      <w:pPr>
        <w:pStyle w:val="PL"/>
      </w:pPr>
      <w:r w:rsidRPr="00AF336E">
        <w:t xml:space="preserve">FeatureCombination ::= </w:t>
      </w:r>
      <w:r>
        <w:tab/>
      </w:r>
      <w:r w:rsidRPr="00AF336E">
        <w:rPr>
          <w:color w:val="993366"/>
        </w:rPr>
        <w:t>SEQUENCE</w:t>
      </w:r>
      <w:r w:rsidRPr="00AF336E">
        <w:t xml:space="preserve"> {</w:t>
      </w:r>
    </w:p>
    <w:p w14:paraId="50770C0C" w14:textId="77777777" w:rsidR="00267E66" w:rsidRPr="00B62387" w:rsidRDefault="00267E66" w:rsidP="00267E66">
      <w:pPr>
        <w:pStyle w:val="PL"/>
      </w:pPr>
      <w:r w:rsidRPr="00B62387">
        <w:tab/>
        <w:t>redCap</w:t>
      </w:r>
      <w:r w:rsidRPr="00B62387">
        <w:tab/>
      </w:r>
      <w:r w:rsidRPr="00B62387">
        <w:tab/>
      </w:r>
      <w:r w:rsidRPr="00B62387">
        <w:tab/>
      </w:r>
      <w:r w:rsidRPr="00B62387">
        <w:tab/>
      </w:r>
      <w:r>
        <w:tab/>
      </w:r>
      <w:r>
        <w:tab/>
      </w:r>
      <w:r>
        <w:tab/>
      </w:r>
      <w:r>
        <w:tab/>
      </w:r>
      <w:r w:rsidRPr="00AF336E">
        <w:t xml:space="preserve">ENUMERATED {true} </w:t>
      </w:r>
      <w:r>
        <w:tab/>
      </w:r>
      <w:r w:rsidRPr="00AF336E">
        <w:rPr>
          <w:color w:val="993366"/>
        </w:rPr>
        <w:t>OPTIONAL</w:t>
      </w:r>
      <w:r w:rsidRPr="00B62387">
        <w:t>,</w:t>
      </w:r>
    </w:p>
    <w:p w14:paraId="021602A7" w14:textId="77777777" w:rsidR="00267E66" w:rsidRPr="00B62387" w:rsidRDefault="00267E66" w:rsidP="00267E66">
      <w:pPr>
        <w:pStyle w:val="PL"/>
      </w:pPr>
      <w:r w:rsidRPr="00B62387">
        <w:lastRenderedPageBreak/>
        <w:tab/>
        <w:t>smallData</w:t>
      </w:r>
      <w:r w:rsidRPr="00B62387">
        <w:tab/>
      </w:r>
      <w:r w:rsidRPr="00B62387">
        <w:tab/>
      </w:r>
      <w:r w:rsidRPr="00B62387">
        <w:tab/>
      </w:r>
      <w:r w:rsidRPr="00B62387">
        <w:tab/>
      </w:r>
      <w:r>
        <w:tab/>
      </w:r>
      <w:r>
        <w:tab/>
      </w:r>
      <w:r>
        <w:tab/>
      </w:r>
      <w:r w:rsidRPr="00AF336E">
        <w:t xml:space="preserve">ENUMERATED {true} </w:t>
      </w:r>
      <w:r>
        <w:tab/>
      </w:r>
      <w:r w:rsidRPr="00AF336E">
        <w:rPr>
          <w:color w:val="993366"/>
        </w:rPr>
        <w:t>OPTIONAL</w:t>
      </w:r>
      <w:r w:rsidRPr="00B62387">
        <w:t>,</w:t>
      </w:r>
    </w:p>
    <w:p w14:paraId="21706F6D" w14:textId="77777777" w:rsidR="00267E66" w:rsidRPr="00AF336E" w:rsidRDefault="00267E66" w:rsidP="00267E66">
      <w:pPr>
        <w:pStyle w:val="PL"/>
      </w:pPr>
      <w:r w:rsidRPr="00B62387">
        <w:tab/>
        <w:t>slicing</w:t>
      </w:r>
      <w:r w:rsidRPr="00B62387">
        <w:tab/>
      </w:r>
      <w:r w:rsidRPr="00B62387">
        <w:tab/>
      </w:r>
      <w:r w:rsidRPr="00B62387">
        <w:tab/>
      </w:r>
      <w:r w:rsidRPr="00B62387">
        <w:tab/>
      </w:r>
      <w:r>
        <w:tab/>
      </w:r>
      <w:r>
        <w:tab/>
      </w:r>
      <w:r>
        <w:tab/>
      </w:r>
      <w:r>
        <w:tab/>
      </w:r>
      <w:r w:rsidRPr="005F4850">
        <w:t>ENUMERATED {true}</w:t>
      </w:r>
      <w:r>
        <w:tab/>
      </w:r>
      <w:r w:rsidRPr="00AF336E">
        <w:rPr>
          <w:color w:val="993366"/>
        </w:rPr>
        <w:t>OPTIONAL</w:t>
      </w:r>
      <w:r>
        <w:rPr>
          <w:color w:val="993366"/>
        </w:rPr>
        <w:t>,</w:t>
      </w:r>
      <w:r>
        <w:tab/>
      </w:r>
      <w:r w:rsidRPr="00E92948">
        <w:rPr>
          <w:highlight w:val="yellow"/>
        </w:rPr>
        <w:t>-- Editor's note: TBD if this should be a multi-bit indication</w:t>
      </w:r>
      <w:r>
        <w:t>.</w:t>
      </w:r>
    </w:p>
    <w:p w14:paraId="716F6943" w14:textId="77777777" w:rsidR="00267E66" w:rsidRPr="00B62387" w:rsidRDefault="00267E66" w:rsidP="00267E66">
      <w:pPr>
        <w:pStyle w:val="PL"/>
      </w:pPr>
      <w:r w:rsidRPr="00B62387">
        <w:tab/>
        <w:t>covEnh</w:t>
      </w:r>
      <w:r w:rsidRPr="00B62387">
        <w:tab/>
      </w:r>
      <w:r w:rsidRPr="00B62387">
        <w:tab/>
      </w:r>
      <w:r w:rsidRPr="00B62387">
        <w:tab/>
      </w:r>
      <w:r w:rsidRPr="00B62387">
        <w:tab/>
      </w:r>
      <w:r>
        <w:tab/>
      </w:r>
      <w:r>
        <w:tab/>
      </w:r>
      <w:r>
        <w:tab/>
      </w:r>
      <w:r>
        <w:tab/>
      </w:r>
      <w:r w:rsidRPr="00AF336E">
        <w:t xml:space="preserve">ENUMERATED {true} </w:t>
      </w:r>
      <w:r>
        <w:tab/>
      </w:r>
      <w:r w:rsidRPr="00AF336E">
        <w:rPr>
          <w:color w:val="993366"/>
        </w:rPr>
        <w:t>OPTIONAL</w:t>
      </w:r>
      <w:r w:rsidRPr="00B62387">
        <w:t>,</w:t>
      </w:r>
    </w:p>
    <w:p w14:paraId="5A2616D1" w14:textId="77777777" w:rsidR="00267E66" w:rsidRPr="00B62387" w:rsidRDefault="00267E66" w:rsidP="00267E66">
      <w:pPr>
        <w:pStyle w:val="PL"/>
      </w:pPr>
      <w:r w:rsidRPr="00B62387">
        <w:tab/>
        <w:t>...,</w:t>
      </w:r>
    </w:p>
    <w:p w14:paraId="024623ED" w14:textId="77777777" w:rsidR="00267E66" w:rsidRPr="00B62387" w:rsidRDefault="00267E66" w:rsidP="00267E66">
      <w:pPr>
        <w:pStyle w:val="PL"/>
      </w:pPr>
      <w:r w:rsidRPr="00B62387">
        <w:t>}</w:t>
      </w:r>
    </w:p>
    <w:p w14:paraId="57DCDFF6" w14:textId="77777777" w:rsidR="00267E66" w:rsidRDefault="00267E66" w:rsidP="00267E66">
      <w:pPr>
        <w:pStyle w:val="PL"/>
        <w:rPr>
          <w:color w:val="808080"/>
        </w:rPr>
      </w:pPr>
    </w:p>
    <w:p w14:paraId="4F88C84B" w14:textId="77777777" w:rsidR="00267E66" w:rsidRDefault="00267E66" w:rsidP="00267E66">
      <w:pPr>
        <w:pStyle w:val="PL"/>
        <w:rPr>
          <w:color w:val="808080"/>
        </w:rPr>
      </w:pPr>
      <w:r>
        <w:rPr>
          <w:color w:val="808080"/>
        </w:rPr>
        <w:t>-- TAG-FEATURECOMBINATION-STOP</w:t>
      </w:r>
    </w:p>
    <w:p w14:paraId="4D78D39D" w14:textId="77777777" w:rsidR="00267E66" w:rsidRDefault="00267E66" w:rsidP="00267E66">
      <w:pPr>
        <w:pStyle w:val="PL"/>
        <w:rPr>
          <w:color w:val="808080"/>
        </w:rPr>
      </w:pPr>
      <w:r>
        <w:rPr>
          <w:color w:val="808080"/>
        </w:rPr>
        <w:t>-- ASN1STOP</w:t>
      </w:r>
    </w:p>
    <w:p w14:paraId="2F5B1D3B" w14:textId="77777777" w:rsidR="00267E66" w:rsidRDefault="00267E66" w:rsidP="00267E6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7E66" w14:paraId="3DA1FE97" w14:textId="77777777" w:rsidTr="00267E66">
        <w:tc>
          <w:tcPr>
            <w:tcW w:w="14173" w:type="dxa"/>
            <w:tcBorders>
              <w:top w:val="single" w:sz="4" w:space="0" w:color="auto"/>
              <w:left w:val="single" w:sz="4" w:space="0" w:color="auto"/>
              <w:bottom w:val="single" w:sz="4" w:space="0" w:color="auto"/>
              <w:right w:val="single" w:sz="4" w:space="0" w:color="auto"/>
            </w:tcBorders>
            <w:hideMark/>
          </w:tcPr>
          <w:p w14:paraId="557D2930" w14:textId="77777777" w:rsidR="00267E66" w:rsidRDefault="00267E66" w:rsidP="003E5370">
            <w:pPr>
              <w:pStyle w:val="TAH"/>
              <w:rPr>
                <w:szCs w:val="22"/>
                <w:lang w:val="sv-SE" w:eastAsia="sv-SE"/>
              </w:rPr>
            </w:pPr>
            <w:r>
              <w:rPr>
                <w:i/>
                <w:lang w:val="sv-SE"/>
              </w:rPr>
              <w:t>FeatureCombinationIndication</w:t>
            </w:r>
            <w:r>
              <w:rPr>
                <w:szCs w:val="22"/>
                <w:lang w:val="sv-SE" w:eastAsia="sv-SE"/>
              </w:rPr>
              <w:t xml:space="preserve"> field descriptions</w:t>
            </w:r>
          </w:p>
        </w:tc>
      </w:tr>
      <w:tr w:rsidR="00267E66" w14:paraId="62833BB7" w14:textId="77777777" w:rsidTr="00267E66">
        <w:tc>
          <w:tcPr>
            <w:tcW w:w="14173" w:type="dxa"/>
            <w:tcBorders>
              <w:top w:val="single" w:sz="4" w:space="0" w:color="auto"/>
              <w:left w:val="single" w:sz="4" w:space="0" w:color="auto"/>
              <w:bottom w:val="single" w:sz="4" w:space="0" w:color="auto"/>
              <w:right w:val="single" w:sz="4" w:space="0" w:color="auto"/>
            </w:tcBorders>
            <w:hideMark/>
          </w:tcPr>
          <w:p w14:paraId="0AB0ACC4" w14:textId="77777777" w:rsidR="00267E66" w:rsidRDefault="00267E66" w:rsidP="003E5370">
            <w:pPr>
              <w:pStyle w:val="TAL"/>
              <w:rPr>
                <w:szCs w:val="22"/>
                <w:lang w:val="sv-SE" w:eastAsia="ja-JP"/>
              </w:rPr>
            </w:pPr>
            <w:r>
              <w:rPr>
                <w:b/>
                <w:i/>
                <w:szCs w:val="22"/>
                <w:lang w:val="sv-SE"/>
              </w:rPr>
              <w:t>redCap</w:t>
            </w:r>
          </w:p>
          <w:p w14:paraId="36E0A0BD" w14:textId="77777777" w:rsidR="00267E66" w:rsidRDefault="00267E66" w:rsidP="003E5370">
            <w:pPr>
              <w:pStyle w:val="TAL"/>
              <w:rPr>
                <w:b/>
                <w:i/>
                <w:szCs w:val="22"/>
                <w:lang w:val="sv-SE" w:eastAsia="sv-SE"/>
              </w:rPr>
            </w:pPr>
            <w:r>
              <w:rPr>
                <w:szCs w:val="22"/>
                <w:lang w:val="sv-SE"/>
              </w:rPr>
              <w:t xml:space="preserve">If present, this field indicates that RedCap is one of the features of this feature combination.  </w:t>
            </w:r>
          </w:p>
        </w:tc>
      </w:tr>
      <w:tr w:rsidR="00267E66" w14:paraId="013B8CAF" w14:textId="77777777" w:rsidTr="00267E66">
        <w:tc>
          <w:tcPr>
            <w:tcW w:w="14173" w:type="dxa"/>
            <w:tcBorders>
              <w:top w:val="single" w:sz="4" w:space="0" w:color="auto"/>
              <w:left w:val="single" w:sz="4" w:space="0" w:color="auto"/>
              <w:bottom w:val="single" w:sz="4" w:space="0" w:color="auto"/>
              <w:right w:val="single" w:sz="4" w:space="0" w:color="auto"/>
            </w:tcBorders>
            <w:hideMark/>
          </w:tcPr>
          <w:p w14:paraId="5F96B924" w14:textId="77777777" w:rsidR="00267E66" w:rsidRDefault="00267E66" w:rsidP="003E5370">
            <w:pPr>
              <w:pStyle w:val="TAL"/>
              <w:rPr>
                <w:szCs w:val="22"/>
                <w:lang w:val="sv-SE" w:eastAsia="sv-SE"/>
              </w:rPr>
            </w:pPr>
            <w:r>
              <w:rPr>
                <w:b/>
                <w:i/>
                <w:szCs w:val="22"/>
                <w:lang w:val="sv-SE" w:eastAsia="sv-SE"/>
              </w:rPr>
              <w:t>smallData</w:t>
            </w:r>
          </w:p>
          <w:p w14:paraId="344975DE" w14:textId="77777777" w:rsidR="00267E66" w:rsidRDefault="00267E66" w:rsidP="003E5370">
            <w:pPr>
              <w:pStyle w:val="TAL"/>
              <w:rPr>
                <w:szCs w:val="22"/>
                <w:lang w:val="sv-SE" w:eastAsia="sv-SE"/>
              </w:rPr>
            </w:pPr>
            <w:r>
              <w:rPr>
                <w:szCs w:val="22"/>
                <w:lang w:val="sv-SE"/>
              </w:rPr>
              <w:t>If present, this field indicates that Small Data is one of the features of this feature combination.</w:t>
            </w:r>
          </w:p>
        </w:tc>
      </w:tr>
      <w:tr w:rsidR="00267E66" w14:paraId="0525699D" w14:textId="77777777" w:rsidTr="00267E66">
        <w:tc>
          <w:tcPr>
            <w:tcW w:w="14173" w:type="dxa"/>
            <w:tcBorders>
              <w:top w:val="single" w:sz="4" w:space="0" w:color="auto"/>
              <w:left w:val="single" w:sz="4" w:space="0" w:color="auto"/>
              <w:bottom w:val="single" w:sz="4" w:space="0" w:color="auto"/>
              <w:right w:val="single" w:sz="4" w:space="0" w:color="auto"/>
            </w:tcBorders>
            <w:hideMark/>
          </w:tcPr>
          <w:p w14:paraId="6490D08A" w14:textId="77777777" w:rsidR="00267E66" w:rsidRDefault="00267E66" w:rsidP="003E5370">
            <w:pPr>
              <w:pStyle w:val="TAL"/>
              <w:rPr>
                <w:szCs w:val="22"/>
                <w:lang w:val="sv-SE" w:eastAsia="sv-SE"/>
              </w:rPr>
            </w:pPr>
            <w:r>
              <w:rPr>
                <w:b/>
                <w:i/>
                <w:szCs w:val="22"/>
                <w:lang w:val="sv-SE" w:eastAsia="sv-SE"/>
              </w:rPr>
              <w:t>slicing</w:t>
            </w:r>
          </w:p>
          <w:p w14:paraId="229D3C77" w14:textId="77777777" w:rsidR="00267E66" w:rsidRDefault="00267E66" w:rsidP="003E5370">
            <w:pPr>
              <w:pStyle w:val="TAL"/>
              <w:rPr>
                <w:szCs w:val="22"/>
                <w:lang w:val="sv-SE" w:eastAsia="sv-SE"/>
              </w:rPr>
            </w:pPr>
            <w:r>
              <w:rPr>
                <w:szCs w:val="22"/>
                <w:lang w:val="sv-SE"/>
              </w:rPr>
              <w:t>If present, this field indicates that slicing is one of the features of this feature combination.</w:t>
            </w:r>
          </w:p>
        </w:tc>
      </w:tr>
      <w:tr w:rsidR="00267E66" w14:paraId="7F6FB3B4" w14:textId="77777777" w:rsidTr="00267E66">
        <w:tc>
          <w:tcPr>
            <w:tcW w:w="14173" w:type="dxa"/>
            <w:tcBorders>
              <w:top w:val="single" w:sz="4" w:space="0" w:color="auto"/>
              <w:left w:val="single" w:sz="4" w:space="0" w:color="auto"/>
              <w:bottom w:val="single" w:sz="4" w:space="0" w:color="auto"/>
              <w:right w:val="single" w:sz="4" w:space="0" w:color="auto"/>
            </w:tcBorders>
            <w:hideMark/>
          </w:tcPr>
          <w:p w14:paraId="07517159" w14:textId="77777777" w:rsidR="00267E66" w:rsidRPr="00A0245A" w:rsidRDefault="00267E66" w:rsidP="003E5370">
            <w:pPr>
              <w:pStyle w:val="TAL"/>
              <w:rPr>
                <w:b/>
                <w:i/>
                <w:lang w:val="sv-SE"/>
              </w:rPr>
            </w:pPr>
            <w:r w:rsidRPr="00A0245A">
              <w:rPr>
                <w:b/>
                <w:i/>
                <w:lang w:val="sv-SE"/>
              </w:rPr>
              <w:t>covEnh</w:t>
            </w:r>
          </w:p>
          <w:p w14:paraId="5A76177B" w14:textId="77777777" w:rsidR="00267E66" w:rsidRDefault="00267E66" w:rsidP="003E5370">
            <w:pPr>
              <w:pStyle w:val="TAL"/>
              <w:rPr>
                <w:szCs w:val="22"/>
                <w:lang w:val="sv-SE" w:eastAsia="sv-SE"/>
              </w:rPr>
            </w:pPr>
            <w:r>
              <w:rPr>
                <w:szCs w:val="22"/>
                <w:lang w:val="sv-SE"/>
              </w:rPr>
              <w:t>If present, this field indicates that coverage enhancement is one of the features of this feature combination.</w:t>
            </w:r>
          </w:p>
        </w:tc>
      </w:tr>
    </w:tbl>
    <w:p w14:paraId="75F8B030" w14:textId="77777777" w:rsidR="00267E66" w:rsidRPr="00267E66" w:rsidRDefault="00267E66" w:rsidP="00267E66"/>
    <w:p w14:paraId="66232CF2" w14:textId="77777777" w:rsidR="00267E66" w:rsidRDefault="00267E66" w:rsidP="00267E66">
      <w:pPr>
        <w:pStyle w:val="EditorsNote"/>
        <w:rPr>
          <w:rFonts w:eastAsia="SimSun"/>
        </w:rPr>
      </w:pPr>
      <w:r>
        <w:rPr>
          <w:rFonts w:eastAsia="SimSun"/>
        </w:rPr>
        <w:t>Editor's note: The field descriptions may need to be revised, for example, the names may need to be more explicit.</w:t>
      </w:r>
    </w:p>
    <w:p w14:paraId="3F7E35E9" w14:textId="30B1357C" w:rsidR="00267E66" w:rsidRDefault="00267E66" w:rsidP="00BC1BB8">
      <w:pPr>
        <w:pStyle w:val="EditorsNote"/>
        <w:rPr>
          <w:rFonts w:eastAsia="SimSun"/>
        </w:rPr>
      </w:pPr>
      <w:r w:rsidRPr="00666CD2">
        <w:rPr>
          <w:rFonts w:eastAsia="SimSun"/>
        </w:rPr>
        <w:t>Editor’s note: Whether if CE is part of a feature comb. and would be determined as part of the resource (partition) selection is pending discussion</w:t>
      </w:r>
    </w:p>
    <w:p w14:paraId="195DA34D" w14:textId="384E7EDD" w:rsidR="00BC1BB8" w:rsidRDefault="00BC1BB8" w:rsidP="00BC1BB8">
      <w:pPr>
        <w:pStyle w:val="EditorsNote"/>
        <w:rPr>
          <w:rFonts w:eastAsia="SimSun"/>
        </w:rPr>
      </w:pPr>
    </w:p>
    <w:p w14:paraId="3665BF79" w14:textId="75A768BE" w:rsidR="00BC1BB8" w:rsidRDefault="00BC1BB8" w:rsidP="00BC1BB8">
      <w:pPr>
        <w:pStyle w:val="BodyText"/>
        <w:rPr>
          <w:rFonts w:eastAsia="SimSun"/>
        </w:rPr>
      </w:pPr>
      <w:r>
        <w:rPr>
          <w:rFonts w:eastAsia="SimSun"/>
        </w:rPr>
        <w:t>Beside the definition of the slicing indicator being multi-bit or not that is not in the scope of this contribution, it is still to be determined if the field descriptors need to be revised and if the Coverage Enhancement indicator should be part of the resource selection as the other features.</w:t>
      </w:r>
    </w:p>
    <w:p w14:paraId="326A2BF3" w14:textId="7455997C" w:rsidR="00BC1BB8" w:rsidRDefault="00BC1BB8" w:rsidP="00BC1BB8">
      <w:pPr>
        <w:pStyle w:val="BodyText"/>
        <w:rPr>
          <w:rFonts w:eastAsia="SimSun"/>
        </w:rPr>
      </w:pPr>
      <w:r>
        <w:rPr>
          <w:rFonts w:eastAsia="SimSun"/>
        </w:rPr>
        <w:t>Regarding the first point another option would be to indicate the specific feature that is enabled once the indication is used. For instance, for RedCap it is actually the Msg1 indication for RedCap that is being transmitted. In the same way, if Coverage Enhancement is indicated, it actually</w:t>
      </w:r>
      <w:r w:rsidR="00E333DE">
        <w:rPr>
          <w:rFonts w:eastAsia="SimSun"/>
        </w:rPr>
        <w:t xml:space="preserve"> only</w:t>
      </w:r>
      <w:r>
        <w:rPr>
          <w:rFonts w:eastAsia="SimSun"/>
        </w:rPr>
        <w:t xml:space="preserve"> </w:t>
      </w:r>
      <w:r w:rsidR="00184089">
        <w:rPr>
          <w:rFonts w:eastAsia="SimSun"/>
        </w:rPr>
        <w:t xml:space="preserve">signals to the network that the UE is </w:t>
      </w:r>
      <w:r w:rsidR="00F62D29">
        <w:rPr>
          <w:rFonts w:eastAsia="SimSun"/>
        </w:rPr>
        <w:t>msg3-repetition capable so that the network may decide on</w:t>
      </w:r>
      <w:r>
        <w:rPr>
          <w:rFonts w:eastAsia="SimSun"/>
        </w:rPr>
        <w:t xml:space="preserve"> repetition of Msg3</w:t>
      </w:r>
      <w:r w:rsidR="00591538">
        <w:rPr>
          <w:rFonts w:eastAsia="SimSun"/>
        </w:rPr>
        <w:t xml:space="preserve"> through RAR</w:t>
      </w:r>
      <w:r>
        <w:rPr>
          <w:rFonts w:eastAsia="SimSun"/>
        </w:rPr>
        <w:t>. By considering this, an alternative definition would be the following</w:t>
      </w:r>
      <w:r w:rsidR="007C0068">
        <w:rPr>
          <w:rFonts w:eastAsia="SimSun"/>
        </w:rPr>
        <w:t xml:space="preserve"> (slicing is omitted due to the actual definition being still pending)</w:t>
      </w:r>
      <w:r>
        <w:rPr>
          <w:rFonts w:eastAsia="SimSun"/>
        </w:rPr>
        <w:t>.</w:t>
      </w:r>
    </w:p>
    <w:p w14:paraId="63ACF778" w14:textId="77777777" w:rsidR="00BC1BB8" w:rsidRDefault="00BC1BB8" w:rsidP="00BC1BB8">
      <w:pPr>
        <w:pStyle w:val="TH"/>
      </w:pPr>
      <w:r>
        <w:rPr>
          <w:i/>
          <w:lang w:val="sv-SE"/>
        </w:rPr>
        <w:t>FeatureCombination</w:t>
      </w:r>
      <w:r>
        <w:t xml:space="preserve"> information element</w:t>
      </w:r>
    </w:p>
    <w:p w14:paraId="7D9E8FFB" w14:textId="77777777" w:rsidR="00BC1BB8" w:rsidRDefault="00BC1BB8" w:rsidP="00BC1BB8">
      <w:pPr>
        <w:pStyle w:val="PL"/>
        <w:rPr>
          <w:color w:val="808080"/>
        </w:rPr>
      </w:pPr>
      <w:r>
        <w:rPr>
          <w:color w:val="808080"/>
        </w:rPr>
        <w:t>-- ASN1START</w:t>
      </w:r>
    </w:p>
    <w:p w14:paraId="470684C6" w14:textId="77777777" w:rsidR="00BC1BB8" w:rsidRDefault="00BC1BB8" w:rsidP="00BC1BB8">
      <w:pPr>
        <w:pStyle w:val="PL"/>
        <w:rPr>
          <w:color w:val="808080"/>
        </w:rPr>
      </w:pPr>
      <w:r>
        <w:rPr>
          <w:color w:val="808080"/>
        </w:rPr>
        <w:t>-- TAG-FEATURECOMBINATION-START</w:t>
      </w:r>
    </w:p>
    <w:p w14:paraId="60206BAE" w14:textId="77777777" w:rsidR="00BC1BB8" w:rsidRDefault="00BC1BB8" w:rsidP="00BC1BB8">
      <w:pPr>
        <w:pStyle w:val="PL"/>
        <w:rPr>
          <w:color w:val="808080"/>
        </w:rPr>
      </w:pPr>
    </w:p>
    <w:p w14:paraId="56CFE48D" w14:textId="77777777" w:rsidR="00BC1BB8" w:rsidRPr="00B62387" w:rsidRDefault="00BC1BB8" w:rsidP="00BC1BB8">
      <w:pPr>
        <w:pStyle w:val="PL"/>
      </w:pPr>
      <w:r w:rsidRPr="00AF336E">
        <w:t xml:space="preserve">FeatureCombination ::= </w:t>
      </w:r>
      <w:r>
        <w:tab/>
      </w:r>
      <w:r w:rsidRPr="00AF336E">
        <w:rPr>
          <w:color w:val="993366"/>
        </w:rPr>
        <w:t>SEQUENCE</w:t>
      </w:r>
      <w:r w:rsidRPr="00AF336E">
        <w:t xml:space="preserve"> {</w:t>
      </w:r>
    </w:p>
    <w:p w14:paraId="007FD61C" w14:textId="30FAF72A" w:rsidR="00BC1BB8" w:rsidRPr="00B62387" w:rsidRDefault="00BC1BB8" w:rsidP="00BC1BB8">
      <w:pPr>
        <w:pStyle w:val="PL"/>
      </w:pPr>
      <w:r w:rsidRPr="00B62387">
        <w:tab/>
        <w:t>redCap</w:t>
      </w:r>
      <w:r>
        <w:t>-Msg1-Indication</w:t>
      </w:r>
      <w:r>
        <w:tab/>
      </w:r>
      <w:r>
        <w:tab/>
      </w:r>
      <w:r>
        <w:tab/>
      </w:r>
      <w:r>
        <w:tab/>
      </w:r>
      <w:r w:rsidRPr="00AF336E">
        <w:t xml:space="preserve">ENUMERATED {true} </w:t>
      </w:r>
      <w:r>
        <w:tab/>
      </w:r>
      <w:r w:rsidRPr="00AF336E">
        <w:rPr>
          <w:color w:val="993366"/>
        </w:rPr>
        <w:t>OPTIONAL</w:t>
      </w:r>
      <w:r w:rsidRPr="00B62387">
        <w:t>,</w:t>
      </w:r>
    </w:p>
    <w:p w14:paraId="43459E54" w14:textId="77777777" w:rsidR="00BC1BB8" w:rsidRPr="00B62387" w:rsidRDefault="00BC1BB8" w:rsidP="00BC1BB8">
      <w:pPr>
        <w:pStyle w:val="PL"/>
      </w:pPr>
      <w:r w:rsidRPr="00B62387">
        <w:tab/>
        <w:t>smallData</w:t>
      </w:r>
      <w:r w:rsidRPr="00B62387">
        <w:tab/>
      </w:r>
      <w:r w:rsidRPr="00B62387">
        <w:tab/>
      </w:r>
      <w:r w:rsidRPr="00B62387">
        <w:tab/>
      </w:r>
      <w:r w:rsidRPr="00B62387">
        <w:tab/>
      </w:r>
      <w:r>
        <w:tab/>
      </w:r>
      <w:r>
        <w:tab/>
      </w:r>
      <w:r>
        <w:tab/>
      </w:r>
      <w:r w:rsidRPr="00AF336E">
        <w:t xml:space="preserve">ENUMERATED {true} </w:t>
      </w:r>
      <w:r>
        <w:tab/>
      </w:r>
      <w:r w:rsidRPr="00AF336E">
        <w:rPr>
          <w:color w:val="993366"/>
        </w:rPr>
        <w:t>OPTIONAL</w:t>
      </w:r>
      <w:r w:rsidRPr="00B62387">
        <w:t>,</w:t>
      </w:r>
    </w:p>
    <w:p w14:paraId="52A64570" w14:textId="16C95D25" w:rsidR="00BC1BB8" w:rsidRPr="00B62387" w:rsidRDefault="00BC1BB8" w:rsidP="00BC1BB8">
      <w:pPr>
        <w:pStyle w:val="PL"/>
      </w:pPr>
      <w:r w:rsidRPr="00B62387">
        <w:tab/>
      </w:r>
      <w:r w:rsidR="00D2132A">
        <w:t>m</w:t>
      </w:r>
      <w:r>
        <w:t>sg3-Repetition</w:t>
      </w:r>
      <w:r w:rsidRPr="00B62387">
        <w:tab/>
      </w:r>
      <w:r w:rsidRPr="00B62387">
        <w:tab/>
      </w:r>
      <w:r>
        <w:tab/>
      </w:r>
      <w:r>
        <w:tab/>
      </w:r>
      <w:r>
        <w:tab/>
      </w:r>
      <w:r>
        <w:tab/>
      </w:r>
      <w:r w:rsidRPr="00AF336E">
        <w:t xml:space="preserve">ENUMERATED {true} </w:t>
      </w:r>
      <w:r>
        <w:tab/>
      </w:r>
      <w:r w:rsidRPr="00AF336E">
        <w:rPr>
          <w:color w:val="993366"/>
        </w:rPr>
        <w:t>OPTIONAL</w:t>
      </w:r>
      <w:r w:rsidRPr="00B62387">
        <w:t>,</w:t>
      </w:r>
    </w:p>
    <w:p w14:paraId="4FC2ABA9" w14:textId="77777777" w:rsidR="00BC1BB8" w:rsidRPr="00B62387" w:rsidRDefault="00BC1BB8" w:rsidP="00BC1BB8">
      <w:pPr>
        <w:pStyle w:val="PL"/>
      </w:pPr>
      <w:r w:rsidRPr="00B62387">
        <w:tab/>
        <w:t>...,</w:t>
      </w:r>
    </w:p>
    <w:p w14:paraId="7A40414A" w14:textId="77777777" w:rsidR="00BC1BB8" w:rsidRPr="00B62387" w:rsidRDefault="00BC1BB8" w:rsidP="00BC1BB8">
      <w:pPr>
        <w:pStyle w:val="PL"/>
      </w:pPr>
      <w:r w:rsidRPr="00B62387">
        <w:t>}</w:t>
      </w:r>
    </w:p>
    <w:p w14:paraId="0E15BE5B" w14:textId="77777777" w:rsidR="00BC1BB8" w:rsidRDefault="00BC1BB8" w:rsidP="00BC1BB8">
      <w:pPr>
        <w:pStyle w:val="PL"/>
        <w:rPr>
          <w:color w:val="808080"/>
        </w:rPr>
      </w:pPr>
    </w:p>
    <w:p w14:paraId="73344FF2" w14:textId="77777777" w:rsidR="00BC1BB8" w:rsidRDefault="00BC1BB8" w:rsidP="00BC1BB8">
      <w:pPr>
        <w:pStyle w:val="PL"/>
        <w:rPr>
          <w:color w:val="808080"/>
        </w:rPr>
      </w:pPr>
      <w:r>
        <w:rPr>
          <w:color w:val="808080"/>
        </w:rPr>
        <w:t>-- TAG-FEATURECOMBINATION-STOP</w:t>
      </w:r>
    </w:p>
    <w:p w14:paraId="38EBDB2B" w14:textId="77777777" w:rsidR="00BC1BB8" w:rsidRDefault="00BC1BB8" w:rsidP="00BC1BB8">
      <w:pPr>
        <w:pStyle w:val="PL"/>
        <w:rPr>
          <w:color w:val="808080"/>
        </w:rPr>
      </w:pPr>
      <w:r>
        <w:rPr>
          <w:color w:val="808080"/>
        </w:rPr>
        <w:t>-- ASN1STOP</w:t>
      </w:r>
    </w:p>
    <w:p w14:paraId="2119CE8E" w14:textId="18AA197D" w:rsidR="00BC1BB8" w:rsidRDefault="00BC1BB8" w:rsidP="00BC1BB8">
      <w:pPr>
        <w:pStyle w:val="BodyText"/>
        <w:rPr>
          <w:rFonts w:eastAsia="SimSun"/>
        </w:rPr>
      </w:pPr>
    </w:p>
    <w:p w14:paraId="50A09BB6" w14:textId="311ECAAE" w:rsidR="00FE0839" w:rsidRDefault="005B4EEE" w:rsidP="00BC1BB8">
      <w:pPr>
        <w:pStyle w:val="BodyText"/>
        <w:rPr>
          <w:rFonts w:eastAsia="SimSun"/>
        </w:rPr>
      </w:pPr>
      <w:r w:rsidRPr="005B4EEE">
        <w:rPr>
          <w:rFonts w:eastAsia="SimSun"/>
        </w:rPr>
        <w:t>We propose:</w:t>
      </w:r>
    </w:p>
    <w:p w14:paraId="61908ECC" w14:textId="28702977" w:rsidR="005B4EEE" w:rsidRDefault="005B4EEE" w:rsidP="005B4EEE">
      <w:pPr>
        <w:pStyle w:val="Proposal"/>
        <w:rPr>
          <w:rFonts w:eastAsia="SimSun"/>
        </w:rPr>
      </w:pPr>
      <w:bookmarkStart w:id="1" w:name="_Toc92793114"/>
      <w:r>
        <w:rPr>
          <w:rFonts w:eastAsia="SimSun"/>
        </w:rPr>
        <w:t xml:space="preserve">The fields in the </w:t>
      </w:r>
      <w:proofErr w:type="spellStart"/>
      <w:r>
        <w:rPr>
          <w:rFonts w:eastAsia="SimSun"/>
        </w:rPr>
        <w:t>FeatureCombination</w:t>
      </w:r>
      <w:proofErr w:type="spellEnd"/>
      <w:r>
        <w:rPr>
          <w:rFonts w:eastAsia="SimSun"/>
        </w:rPr>
        <w:t xml:space="preserve"> are named "redCap-Msg1-Indication", "</w:t>
      </w:r>
      <w:proofErr w:type="spellStart"/>
      <w:r>
        <w:rPr>
          <w:rFonts w:eastAsia="SimSun"/>
        </w:rPr>
        <w:t>smallData</w:t>
      </w:r>
      <w:proofErr w:type="spellEnd"/>
      <w:r>
        <w:rPr>
          <w:rFonts w:eastAsia="SimSun"/>
        </w:rPr>
        <w:t xml:space="preserve">" and </w:t>
      </w:r>
      <w:r w:rsidR="003234BE">
        <w:rPr>
          <w:rFonts w:eastAsia="SimSun"/>
        </w:rPr>
        <w:t>"</w:t>
      </w:r>
      <w:r>
        <w:rPr>
          <w:rFonts w:eastAsia="SimSun"/>
        </w:rPr>
        <w:t>msg3-Repetition</w:t>
      </w:r>
      <w:r w:rsidR="003234BE">
        <w:rPr>
          <w:rFonts w:eastAsia="SimSun"/>
        </w:rPr>
        <w:t>"</w:t>
      </w:r>
      <w:r>
        <w:rPr>
          <w:rFonts w:eastAsia="SimSun"/>
        </w:rPr>
        <w:t>. Slicing is TBD.</w:t>
      </w:r>
      <w:bookmarkEnd w:id="1"/>
    </w:p>
    <w:p w14:paraId="557F834A" w14:textId="269157A7" w:rsidR="00BC1BB8" w:rsidRDefault="00FE0839" w:rsidP="00FE0839">
      <w:pPr>
        <w:pStyle w:val="BodyText"/>
        <w:rPr>
          <w:rFonts w:eastAsia="SimSun"/>
        </w:rPr>
      </w:pPr>
      <w:r>
        <w:rPr>
          <w:rFonts w:eastAsia="SimSun"/>
        </w:rPr>
        <w:t>Regarding the second note on the Coverage Enhancement being part of a feature combination, it is being discussed if this feature should be evaluated by MAC layer at every transmission or if it should be evaluated at the beginning of the random access as the other features.</w:t>
      </w:r>
    </w:p>
    <w:p w14:paraId="0C369F7E" w14:textId="34749096" w:rsidR="00FE0839" w:rsidRDefault="00FE0839" w:rsidP="00FE0839">
      <w:pPr>
        <w:pStyle w:val="BodyText"/>
        <w:rPr>
          <w:rFonts w:eastAsia="SimSun"/>
        </w:rPr>
      </w:pPr>
      <w:r>
        <w:rPr>
          <w:rFonts w:eastAsia="SimSun"/>
        </w:rPr>
        <w:t xml:space="preserve">Regardless of the outcome of this discussion, which </w:t>
      </w:r>
      <w:r w:rsidR="006761CE">
        <w:rPr>
          <w:rFonts w:eastAsia="SimSun"/>
        </w:rPr>
        <w:t>is treated elsewhere</w:t>
      </w:r>
      <w:r>
        <w:rPr>
          <w:rFonts w:eastAsia="SimSun"/>
        </w:rPr>
        <w:t>, it is still necessary to identify a set of preambles associated to Coverage Enhancements.</w:t>
      </w:r>
    </w:p>
    <w:p w14:paraId="5A42B76E" w14:textId="6BD63780" w:rsidR="00FE0839" w:rsidRDefault="00FE0839" w:rsidP="00FE0839">
      <w:pPr>
        <w:pStyle w:val="BodyText"/>
        <w:rPr>
          <w:rFonts w:eastAsia="SimSun"/>
        </w:rPr>
      </w:pPr>
      <w:r>
        <w:rPr>
          <w:rFonts w:eastAsia="SimSun"/>
        </w:rPr>
        <w:t xml:space="preserve">For this reason, we propose to have the indication as part of the </w:t>
      </w:r>
      <w:proofErr w:type="spellStart"/>
      <w:r>
        <w:rPr>
          <w:rFonts w:eastAsia="SimSun"/>
        </w:rPr>
        <w:t>FeatureCombination</w:t>
      </w:r>
      <w:proofErr w:type="spellEnd"/>
      <w:r>
        <w:rPr>
          <w:rFonts w:eastAsia="SimSun"/>
        </w:rPr>
        <w:t xml:space="preserve"> indication.</w:t>
      </w:r>
    </w:p>
    <w:p w14:paraId="43024433" w14:textId="793A0827" w:rsidR="00FE0839" w:rsidRPr="00B44AEB" w:rsidRDefault="00FE0839" w:rsidP="00FE0839">
      <w:pPr>
        <w:pStyle w:val="Proposal"/>
        <w:rPr>
          <w:rFonts w:eastAsia="SimSun"/>
        </w:rPr>
      </w:pPr>
      <w:bookmarkStart w:id="2" w:name="_Toc92793115"/>
      <w:r>
        <w:rPr>
          <w:rFonts w:eastAsia="SimSun"/>
        </w:rPr>
        <w:t xml:space="preserve">The indication representing the Coverage Enhancement feature is part of </w:t>
      </w:r>
      <w:proofErr w:type="spellStart"/>
      <w:r w:rsidRPr="00FE0839">
        <w:rPr>
          <w:rFonts w:eastAsia="SimSun"/>
          <w:i/>
          <w:iCs/>
        </w:rPr>
        <w:t>FeatureCombination</w:t>
      </w:r>
      <w:bookmarkEnd w:id="2"/>
      <w:proofErr w:type="spellEnd"/>
    </w:p>
    <w:p w14:paraId="0037BA47" w14:textId="74E4A944" w:rsidR="00B44AEB" w:rsidRDefault="00B44AEB" w:rsidP="00B44AEB">
      <w:pPr>
        <w:pStyle w:val="BodyText"/>
        <w:rPr>
          <w:rFonts w:eastAsia="SimSun"/>
        </w:rPr>
      </w:pPr>
      <w:r>
        <w:rPr>
          <w:rFonts w:eastAsia="SimSun"/>
        </w:rPr>
        <w:lastRenderedPageBreak/>
        <w:t xml:space="preserve">A common comment that we observed in the ongoing e-mail discussion from other companies, is that the </w:t>
      </w:r>
      <w:proofErr w:type="spellStart"/>
      <w:r w:rsidRPr="00B44AEB">
        <w:rPr>
          <w:rFonts w:eastAsia="SimSun"/>
          <w:i/>
          <w:iCs/>
        </w:rPr>
        <w:t>FeatureCombination</w:t>
      </w:r>
      <w:proofErr w:type="spellEnd"/>
      <w:r>
        <w:rPr>
          <w:rFonts w:eastAsia="SimSun"/>
        </w:rPr>
        <w:t xml:space="preserve"> is present in two IEs (</w:t>
      </w:r>
      <w:r w:rsidR="00A17440" w:rsidRPr="00A17440">
        <w:rPr>
          <w:rFonts w:eastAsia="SimSun"/>
          <w:i/>
          <w:iCs/>
        </w:rPr>
        <w:t>RACH-</w:t>
      </w:r>
      <w:proofErr w:type="spellStart"/>
      <w:r w:rsidR="00A17440" w:rsidRPr="00A17440">
        <w:rPr>
          <w:rFonts w:eastAsia="SimSun"/>
          <w:i/>
          <w:iCs/>
        </w:rPr>
        <w:t>ConfigCommon</w:t>
      </w:r>
      <w:proofErr w:type="spellEnd"/>
      <w:r>
        <w:rPr>
          <w:rFonts w:eastAsia="SimSun"/>
        </w:rPr>
        <w:t xml:space="preserve"> </w:t>
      </w:r>
      <w:r w:rsidR="00A17440">
        <w:rPr>
          <w:rFonts w:eastAsia="SimSun"/>
        </w:rPr>
        <w:t>a</w:t>
      </w:r>
      <w:r>
        <w:rPr>
          <w:rFonts w:eastAsia="SimSun"/>
        </w:rPr>
        <w:t xml:space="preserve">nd </w:t>
      </w:r>
      <w:proofErr w:type="spellStart"/>
      <w:r w:rsidR="00A17440" w:rsidRPr="00A17440">
        <w:rPr>
          <w:rFonts w:eastAsia="SimSun"/>
          <w:i/>
          <w:iCs/>
        </w:rPr>
        <w:t>FeatureCombinationPreambles</w:t>
      </w:r>
      <w:proofErr w:type="spellEnd"/>
      <w:r>
        <w:rPr>
          <w:rFonts w:eastAsia="SimSun"/>
        </w:rPr>
        <w:t>) and thus it can be removed from one of the two since it is redundant.</w:t>
      </w:r>
    </w:p>
    <w:p w14:paraId="34F6A686" w14:textId="151A7B8B" w:rsidR="00B44AEB" w:rsidRDefault="00B44AEB" w:rsidP="00B44AEB">
      <w:pPr>
        <w:pStyle w:val="BodyText"/>
        <w:rPr>
          <w:rFonts w:eastAsia="SimSun"/>
        </w:rPr>
      </w:pPr>
      <w:r>
        <w:rPr>
          <w:rFonts w:eastAsia="SimSun"/>
        </w:rPr>
        <w:t>The</w:t>
      </w:r>
      <w:r w:rsidR="00A17440">
        <w:rPr>
          <w:rFonts w:eastAsia="SimSun"/>
        </w:rPr>
        <w:t xml:space="preserve"> reason to have this indication in </w:t>
      </w:r>
      <w:r w:rsidR="00A17440" w:rsidRPr="0071006E">
        <w:rPr>
          <w:rFonts w:eastAsia="SimSun"/>
          <w:b/>
          <w:bCs/>
        </w:rPr>
        <w:t>both</w:t>
      </w:r>
      <w:r w:rsidR="00A17440">
        <w:rPr>
          <w:rFonts w:eastAsia="SimSun"/>
        </w:rPr>
        <w:t xml:space="preserve"> IE</w:t>
      </w:r>
      <w:r w:rsidR="00357548">
        <w:rPr>
          <w:rFonts w:eastAsia="SimSun"/>
        </w:rPr>
        <w:t>s</w:t>
      </w:r>
      <w:r w:rsidR="00A17440">
        <w:rPr>
          <w:rFonts w:eastAsia="SimSun"/>
        </w:rPr>
        <w:t xml:space="preserve"> is to allow the configuration of additional and separate RACH resources and allow a more granular configuration of each RACH Occasion within the RACH resource with a good degree of flexibility in the signalling.</w:t>
      </w:r>
    </w:p>
    <w:p w14:paraId="46DAA7A0" w14:textId="77777777" w:rsidR="003E5370" w:rsidRDefault="00A17440" w:rsidP="00B44AEB">
      <w:pPr>
        <w:pStyle w:val="BodyText"/>
        <w:rPr>
          <w:rFonts w:eastAsia="SimSun"/>
        </w:rPr>
      </w:pPr>
      <w:r>
        <w:rPr>
          <w:rFonts w:eastAsia="SimSun"/>
        </w:rPr>
        <w:t xml:space="preserve">The indication in </w:t>
      </w:r>
      <w:r w:rsidRPr="00A17440">
        <w:rPr>
          <w:rFonts w:eastAsia="SimSun"/>
          <w:i/>
          <w:iCs/>
        </w:rPr>
        <w:t>RACH-</w:t>
      </w:r>
      <w:proofErr w:type="spellStart"/>
      <w:r w:rsidRPr="00A17440">
        <w:rPr>
          <w:rFonts w:eastAsia="SimSun"/>
          <w:i/>
          <w:iCs/>
        </w:rPr>
        <w:t>ConfigCommon</w:t>
      </w:r>
      <w:proofErr w:type="spellEnd"/>
      <w:r>
        <w:rPr>
          <w:rFonts w:eastAsia="SimSun"/>
        </w:rPr>
        <w:t xml:space="preserve"> allows to associate an additional RACH resource to a specific feature combination, as depicted in </w:t>
      </w:r>
      <w:r>
        <w:rPr>
          <w:rFonts w:eastAsia="SimSun"/>
        </w:rPr>
        <w:fldChar w:fldCharType="begin"/>
      </w:r>
      <w:r>
        <w:rPr>
          <w:rFonts w:eastAsia="SimSun"/>
        </w:rPr>
        <w:instrText xml:space="preserve"> REF _Ref90642599 \h </w:instrText>
      </w:r>
      <w:r>
        <w:rPr>
          <w:rFonts w:eastAsia="SimSun"/>
        </w:rPr>
      </w:r>
      <w:r>
        <w:rPr>
          <w:rFonts w:eastAsia="SimSun"/>
        </w:rPr>
        <w:fldChar w:fldCharType="separate"/>
      </w:r>
      <w:r>
        <w:t xml:space="preserve">Figure </w:t>
      </w:r>
      <w:r>
        <w:rPr>
          <w:noProof/>
        </w:rPr>
        <w:t>1</w:t>
      </w:r>
      <w:r>
        <w:rPr>
          <w:rFonts w:eastAsia="SimSun"/>
        </w:rPr>
        <w:fldChar w:fldCharType="end"/>
      </w:r>
      <w:r>
        <w:rPr>
          <w:rFonts w:eastAsia="SimSun"/>
        </w:rPr>
        <w:t xml:space="preserve">. </w:t>
      </w:r>
      <w:r w:rsidR="003E5370">
        <w:rPr>
          <w:rFonts w:eastAsia="SimSun"/>
        </w:rPr>
        <w:t>The figure shows three different RACH configurations:</w:t>
      </w:r>
    </w:p>
    <w:p w14:paraId="636221D4" w14:textId="46B8B57B" w:rsidR="003E5370" w:rsidRDefault="003E5370" w:rsidP="003E5370">
      <w:pPr>
        <w:pStyle w:val="BodyText"/>
        <w:numPr>
          <w:ilvl w:val="0"/>
          <w:numId w:val="17"/>
        </w:numPr>
        <w:rPr>
          <w:rFonts w:eastAsia="SimSun"/>
        </w:rPr>
      </w:pPr>
      <w:r>
        <w:rPr>
          <w:rFonts w:eastAsia="SimSun"/>
        </w:rPr>
        <w:t>the blue (legacy) RACH resources</w:t>
      </w:r>
    </w:p>
    <w:p w14:paraId="37170600" w14:textId="0F7F57B1" w:rsidR="003E5370" w:rsidRDefault="003E5370" w:rsidP="003E5370">
      <w:pPr>
        <w:pStyle w:val="BodyText"/>
        <w:numPr>
          <w:ilvl w:val="0"/>
          <w:numId w:val="17"/>
        </w:numPr>
        <w:rPr>
          <w:rFonts w:eastAsia="SimSun"/>
        </w:rPr>
      </w:pPr>
      <w:r>
        <w:rPr>
          <w:rFonts w:eastAsia="SimSun"/>
        </w:rPr>
        <w:t xml:space="preserve">a red RACH resource which has been dedicated to </w:t>
      </w:r>
      <w:proofErr w:type="spellStart"/>
      <w:r>
        <w:rPr>
          <w:rFonts w:eastAsia="SimSun"/>
        </w:rPr>
        <w:t>CovEnh</w:t>
      </w:r>
      <w:proofErr w:type="spellEnd"/>
      <w:r>
        <w:rPr>
          <w:rFonts w:eastAsia="SimSun"/>
        </w:rPr>
        <w:t>.</w:t>
      </w:r>
    </w:p>
    <w:p w14:paraId="23F95CFC" w14:textId="5C1CBE31" w:rsidR="00A17440" w:rsidRDefault="003E5370" w:rsidP="003E5370">
      <w:pPr>
        <w:pStyle w:val="BodyText"/>
        <w:numPr>
          <w:ilvl w:val="0"/>
          <w:numId w:val="17"/>
        </w:numPr>
        <w:rPr>
          <w:rFonts w:eastAsia="SimSun"/>
        </w:rPr>
      </w:pPr>
      <w:r>
        <w:rPr>
          <w:rFonts w:eastAsia="SimSun"/>
        </w:rPr>
        <w:t xml:space="preserve">a green RACH resource which has been dedicated to </w:t>
      </w:r>
      <w:proofErr w:type="spellStart"/>
      <w:r>
        <w:rPr>
          <w:rFonts w:eastAsia="SimSun"/>
        </w:rPr>
        <w:t>Slice+SDT</w:t>
      </w:r>
      <w:proofErr w:type="spellEnd"/>
    </w:p>
    <w:p w14:paraId="17C9FF72" w14:textId="77777777" w:rsidR="003E5370" w:rsidRDefault="003E5370" w:rsidP="003E5370">
      <w:pPr>
        <w:pStyle w:val="BodyText"/>
        <w:rPr>
          <w:rFonts w:eastAsia="SimSun"/>
        </w:rPr>
      </w:pPr>
      <w:r>
        <w:rPr>
          <w:rFonts w:eastAsia="SimSun"/>
        </w:rPr>
        <w:t>This would be signalled by providing two additional RACH resources (i.e. in addition to the legacy RACH resource):</w:t>
      </w:r>
    </w:p>
    <w:p w14:paraId="2565AE9F" w14:textId="215F1CC0" w:rsidR="003E5370" w:rsidRDefault="003E5370" w:rsidP="003E5370">
      <w:pPr>
        <w:pStyle w:val="BodyText"/>
        <w:numPr>
          <w:ilvl w:val="0"/>
          <w:numId w:val="17"/>
        </w:numPr>
        <w:rPr>
          <w:rFonts w:eastAsia="SimSun"/>
        </w:rPr>
      </w:pPr>
      <w:r>
        <w:rPr>
          <w:rFonts w:eastAsia="SimSun"/>
        </w:rPr>
        <w:t xml:space="preserve">for the Red resource, in the </w:t>
      </w:r>
      <w:proofErr w:type="spellStart"/>
      <w:r w:rsidRPr="00515569">
        <w:rPr>
          <w:rFonts w:eastAsia="SimSun"/>
          <w:i/>
          <w:iCs/>
        </w:rPr>
        <w:t>featureCombination</w:t>
      </w:r>
      <w:proofErr w:type="spellEnd"/>
      <w:r>
        <w:rPr>
          <w:rFonts w:eastAsia="SimSun"/>
        </w:rPr>
        <w:t>-field the msg3-Repetition (</w:t>
      </w:r>
      <w:proofErr w:type="spellStart"/>
      <w:r>
        <w:rPr>
          <w:rFonts w:eastAsia="SimSun"/>
        </w:rPr>
        <w:t>CovEnh</w:t>
      </w:r>
      <w:proofErr w:type="spellEnd"/>
      <w:r>
        <w:rPr>
          <w:rFonts w:eastAsia="SimSun"/>
        </w:rPr>
        <w:t xml:space="preserve">) bit has been set to </w:t>
      </w:r>
      <w:r w:rsidRPr="003E5370">
        <w:rPr>
          <w:rFonts w:eastAsia="SimSun"/>
          <w:i/>
          <w:iCs/>
        </w:rPr>
        <w:t>true</w:t>
      </w:r>
      <w:r>
        <w:rPr>
          <w:rFonts w:eastAsia="SimSun"/>
        </w:rPr>
        <w:t>.</w:t>
      </w:r>
    </w:p>
    <w:p w14:paraId="55B948CC" w14:textId="0D7EEEDF" w:rsidR="003E5370" w:rsidRDefault="003E5370" w:rsidP="003E5370">
      <w:pPr>
        <w:pStyle w:val="BodyText"/>
        <w:numPr>
          <w:ilvl w:val="0"/>
          <w:numId w:val="17"/>
        </w:numPr>
        <w:rPr>
          <w:rFonts w:eastAsia="SimSun"/>
        </w:rPr>
      </w:pPr>
      <w:r>
        <w:rPr>
          <w:rFonts w:eastAsia="SimSun"/>
        </w:rPr>
        <w:t xml:space="preserve">for the Green resource, in the </w:t>
      </w:r>
      <w:proofErr w:type="spellStart"/>
      <w:r w:rsidRPr="00515569">
        <w:rPr>
          <w:rFonts w:eastAsia="SimSun"/>
          <w:i/>
          <w:iCs/>
        </w:rPr>
        <w:t>featureCombination</w:t>
      </w:r>
      <w:proofErr w:type="spellEnd"/>
      <w:r>
        <w:rPr>
          <w:rFonts w:eastAsia="SimSun"/>
        </w:rPr>
        <w:t xml:space="preserve">-field the slicing and SDT bits has both been set to </w:t>
      </w:r>
      <w:r w:rsidRPr="003E5370">
        <w:rPr>
          <w:rFonts w:eastAsia="SimSun"/>
          <w:i/>
          <w:iCs/>
        </w:rPr>
        <w:t>true</w:t>
      </w:r>
      <w:r>
        <w:rPr>
          <w:rFonts w:eastAsia="SimSun"/>
        </w:rPr>
        <w:t>.</w:t>
      </w:r>
    </w:p>
    <w:p w14:paraId="0A29236C" w14:textId="77777777" w:rsidR="00A17440" w:rsidRDefault="00A17440" w:rsidP="00A17440">
      <w:pPr>
        <w:keepNext/>
      </w:pPr>
      <w:r>
        <w:rPr>
          <w:noProof/>
        </w:rPr>
        <w:drawing>
          <wp:inline distT="0" distB="0" distL="0" distR="0" wp14:anchorId="363E56CE" wp14:editId="1094EC30">
            <wp:extent cx="6114415" cy="181546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1815465"/>
                    </a:xfrm>
                    <a:prstGeom prst="rect">
                      <a:avLst/>
                    </a:prstGeom>
                    <a:noFill/>
                    <a:ln>
                      <a:noFill/>
                    </a:ln>
                  </pic:spPr>
                </pic:pic>
              </a:graphicData>
            </a:graphic>
          </wp:inline>
        </w:drawing>
      </w:r>
    </w:p>
    <w:p w14:paraId="6740A672" w14:textId="2CD0CAE3" w:rsidR="00A17440" w:rsidRDefault="00A17440" w:rsidP="00683839">
      <w:pPr>
        <w:pStyle w:val="Caption"/>
        <w:jc w:val="center"/>
      </w:pPr>
      <w:bookmarkStart w:id="3" w:name="_Ref90642599"/>
      <w:r>
        <w:t xml:space="preserve">Figure </w:t>
      </w:r>
      <w:r w:rsidR="00297B40">
        <w:fldChar w:fldCharType="begin"/>
      </w:r>
      <w:r w:rsidR="00297B40">
        <w:instrText xml:space="preserve"> SEQ Figure \* ARABIC </w:instrText>
      </w:r>
      <w:r w:rsidR="00297B40">
        <w:fldChar w:fldCharType="separate"/>
      </w:r>
      <w:r>
        <w:rPr>
          <w:noProof/>
        </w:rPr>
        <w:t>1</w:t>
      </w:r>
      <w:r w:rsidR="00297B40">
        <w:rPr>
          <w:noProof/>
        </w:rPr>
        <w:fldChar w:fldCharType="end"/>
      </w:r>
      <w:bookmarkEnd w:id="3"/>
      <w:r>
        <w:t>: Example of 3 PRACH configurations associated to different feature combinations</w:t>
      </w:r>
    </w:p>
    <w:p w14:paraId="19C3BA5D" w14:textId="5225F0C5" w:rsidR="002C1903" w:rsidRDefault="002C1903" w:rsidP="002C1903">
      <w:pPr>
        <w:pStyle w:val="Observation"/>
      </w:pPr>
      <w:bookmarkStart w:id="4" w:name="_Toc92793130"/>
      <w:r>
        <w:t xml:space="preserve">The </w:t>
      </w:r>
      <w:proofErr w:type="spellStart"/>
      <w:r w:rsidRPr="002C1903">
        <w:rPr>
          <w:i/>
          <w:iCs/>
        </w:rPr>
        <w:t>FeatureCombination</w:t>
      </w:r>
      <w:proofErr w:type="spellEnd"/>
      <w:r>
        <w:t xml:space="preserve">-indication in </w:t>
      </w:r>
      <w:r w:rsidRPr="002C1903">
        <w:rPr>
          <w:i/>
          <w:iCs/>
        </w:rPr>
        <w:t>RACH-</w:t>
      </w:r>
      <w:proofErr w:type="spellStart"/>
      <w:r w:rsidRPr="002C1903">
        <w:rPr>
          <w:i/>
          <w:iCs/>
        </w:rPr>
        <w:t>ConfigCommon</w:t>
      </w:r>
      <w:proofErr w:type="spellEnd"/>
      <w:r>
        <w:t xml:space="preserve"> allows a complete RACH configuration to be assigned to a feature combination.</w:t>
      </w:r>
      <w:bookmarkEnd w:id="4"/>
    </w:p>
    <w:p w14:paraId="6ACF67AC" w14:textId="77777777" w:rsidR="002C1903" w:rsidRDefault="002C1903" w:rsidP="00A17440">
      <w:pPr>
        <w:pStyle w:val="BodyText"/>
      </w:pPr>
    </w:p>
    <w:p w14:paraId="61042E3F" w14:textId="1BA5C72F" w:rsidR="00A17440" w:rsidRDefault="00A17440" w:rsidP="00A17440">
      <w:pPr>
        <w:pStyle w:val="BodyText"/>
      </w:pPr>
      <w:r>
        <w:t xml:space="preserve">The </w:t>
      </w:r>
      <w:proofErr w:type="spellStart"/>
      <w:r w:rsidR="00C02187">
        <w:t>FeatureCombination</w:t>
      </w:r>
      <w:proofErr w:type="spellEnd"/>
      <w:r w:rsidR="00C02187">
        <w:t>-</w:t>
      </w:r>
      <w:r>
        <w:t xml:space="preserve">indication </w:t>
      </w:r>
      <w:r w:rsidR="00C02187">
        <w:t xml:space="preserve">in </w:t>
      </w:r>
      <w:proofErr w:type="spellStart"/>
      <w:r w:rsidRPr="00A17440">
        <w:rPr>
          <w:i/>
          <w:iCs/>
        </w:rPr>
        <w:t>FeatureCombinationPreambles</w:t>
      </w:r>
      <w:proofErr w:type="spellEnd"/>
      <w:r>
        <w:t xml:space="preserve"> is also associated to a mask index. This means that beside the feature combination</w:t>
      </w:r>
      <w:r w:rsidR="00167D4E">
        <w:t xml:space="preserve"> associated to the whole RACH configuration</w:t>
      </w:r>
      <w:r>
        <w:t>, other preambles associated to a different feature combination may be defined in a sub-set of all the ROs.</w:t>
      </w:r>
    </w:p>
    <w:p w14:paraId="00B5E154" w14:textId="79225173" w:rsidR="00A17440" w:rsidRDefault="00A17440" w:rsidP="00A17440">
      <w:pPr>
        <w:pStyle w:val="BodyText"/>
      </w:pPr>
      <w:r>
        <w:t xml:space="preserve">In </w:t>
      </w:r>
      <w:r>
        <w:fldChar w:fldCharType="begin"/>
      </w:r>
      <w:r>
        <w:instrText xml:space="preserve"> REF _Ref90642815 \h </w:instrText>
      </w:r>
      <w:r>
        <w:fldChar w:fldCharType="separate"/>
      </w:r>
      <w:r>
        <w:t xml:space="preserve">Figure </w:t>
      </w:r>
      <w:r>
        <w:rPr>
          <w:noProof/>
        </w:rPr>
        <w:t>2</w:t>
      </w:r>
      <w:r>
        <w:fldChar w:fldCharType="end"/>
      </w:r>
      <w:r>
        <w:t xml:space="preserve"> we see an example where the default feature combination associated to the whole additional RACH configuration is “RedCap” and thus all the ROs contain preambles for this combination (2-step RACH RedCap is present only in the odd ROs because the legacy masking mechanism is used for the whole PRACH configuration). Then this RACH configuration has </w:t>
      </w:r>
      <w:r w:rsidR="00A46561">
        <w:t xml:space="preserve">one </w:t>
      </w:r>
      <w:proofErr w:type="spellStart"/>
      <w:r w:rsidR="00A46561" w:rsidRPr="00A46561">
        <w:rPr>
          <w:i/>
          <w:iCs/>
        </w:rPr>
        <w:t>FeatureCombinationPreambles</w:t>
      </w:r>
      <w:proofErr w:type="spellEnd"/>
      <w:r w:rsidR="00A46561">
        <w:t xml:space="preserve"> IE associated to RedCap and with a masking index identifying only RO1.</w:t>
      </w:r>
    </w:p>
    <w:p w14:paraId="4FA09A1B" w14:textId="7611C928" w:rsidR="003A1E0D" w:rsidRDefault="003A1E0D" w:rsidP="003A1E0D">
      <w:pPr>
        <w:pStyle w:val="PL"/>
      </w:pPr>
      <w:r w:rsidRPr="003A1E0D">
        <w:t>RACH-ConfigCommon-r17</w:t>
      </w:r>
      <w:r w:rsidRPr="009A1936">
        <w:t xml:space="preserve"> ::= SEQUENCE {</w:t>
      </w:r>
      <w:r>
        <w:br/>
      </w:r>
      <w:r>
        <w:tab/>
        <w:t>rach-ConfigID-r17 = 1</w:t>
      </w:r>
    </w:p>
    <w:p w14:paraId="235F0157" w14:textId="4F129DB8" w:rsidR="003A1E0D" w:rsidRPr="003A1E0D" w:rsidRDefault="003A1E0D" w:rsidP="003A1E0D">
      <w:pPr>
        <w:pStyle w:val="PL"/>
        <w:rPr>
          <w:color w:val="4472C4" w:themeColor="accent1"/>
        </w:rPr>
      </w:pPr>
      <w:r w:rsidRPr="003A1E0D">
        <w:rPr>
          <w:color w:val="4472C4" w:themeColor="accent1"/>
        </w:rPr>
        <w:tab/>
        <w:t>featureCombination-r17 = “RedCap”</w:t>
      </w:r>
    </w:p>
    <w:p w14:paraId="5F44E68F" w14:textId="1D9D54D3" w:rsidR="003A1E0D" w:rsidRDefault="003A1E0D" w:rsidP="003A1E0D">
      <w:pPr>
        <w:pStyle w:val="PL"/>
      </w:pPr>
      <w:r w:rsidRPr="003A1E0D">
        <w:tab/>
        <w:t>Rach-ConfigCommon-r17 {</w:t>
      </w:r>
    </w:p>
    <w:p w14:paraId="25B9956F" w14:textId="5A5CCF8F" w:rsidR="003A1E0D" w:rsidRDefault="003A1E0D" w:rsidP="003A1E0D">
      <w:pPr>
        <w:pStyle w:val="PL"/>
        <w:rPr>
          <w:color w:val="4472C4" w:themeColor="accent1"/>
        </w:rPr>
      </w:pPr>
      <w:r>
        <w:rPr>
          <w:color w:val="4472C4" w:themeColor="accent1"/>
        </w:rPr>
        <w:tab/>
      </w:r>
      <w:r>
        <w:rPr>
          <w:color w:val="4472C4" w:themeColor="accent1"/>
        </w:rPr>
        <w:tab/>
      </w:r>
      <w:r w:rsidRPr="00DD409E">
        <w:rPr>
          <w:color w:val="4472C4" w:themeColor="accent1"/>
        </w:rPr>
        <w:t>the additional PRACH has a 4x2 PRACH slot</w:t>
      </w:r>
    </w:p>
    <w:p w14:paraId="5BA68064" w14:textId="3593764B" w:rsidR="003A1E0D" w:rsidRDefault="003A1E0D" w:rsidP="003A1E0D">
      <w:pPr>
        <w:pStyle w:val="PL"/>
        <w:rPr>
          <w:color w:val="4472C4" w:themeColor="accent1"/>
          <w:lang w:val="en-US"/>
        </w:rPr>
      </w:pPr>
      <w:r>
        <w:rPr>
          <w:color w:val="4472C4" w:themeColor="accent1"/>
          <w:lang w:val="en-US"/>
        </w:rPr>
        <w:tab/>
      </w:r>
      <w:r>
        <w:rPr>
          <w:color w:val="4472C4" w:themeColor="accent1"/>
          <w:lang w:val="en-US"/>
        </w:rPr>
        <w:tab/>
      </w:r>
      <w:r w:rsidRPr="009D57F5">
        <w:rPr>
          <w:color w:val="4472C4" w:themeColor="accent1"/>
          <w:lang w:val="en-US"/>
        </w:rPr>
        <w:t>N=2, K=16</w:t>
      </w:r>
      <w:r w:rsidRPr="009D57F5">
        <w:rPr>
          <w:color w:val="4472C4" w:themeColor="accent1"/>
          <w:lang w:val="en-US"/>
        </w:rPr>
        <w:tab/>
        <w:t>(SSB per RO and CBPR per SSB as in legacy signalling)</w:t>
      </w:r>
    </w:p>
    <w:p w14:paraId="37CBEFC1" w14:textId="14CA3F05" w:rsidR="003A1E0D" w:rsidRDefault="003A1E0D" w:rsidP="003A1E0D">
      <w:pPr>
        <w:pStyle w:val="PL"/>
        <w:rPr>
          <w:b/>
          <w:bCs/>
          <w:color w:val="4472C4" w:themeColor="accent1"/>
        </w:rPr>
      </w:pPr>
      <w:r>
        <w:rPr>
          <w:color w:val="4472C4" w:themeColor="accent1"/>
          <w:lang w:val="en-US"/>
        </w:rPr>
        <w:tab/>
      </w:r>
      <w:r>
        <w:rPr>
          <w:color w:val="4472C4" w:themeColor="accent1"/>
          <w:lang w:val="en-US"/>
        </w:rPr>
        <w:tab/>
      </w:r>
      <w:r w:rsidRPr="00577C33">
        <w:rPr>
          <w:color w:val="4472C4" w:themeColor="accent1"/>
        </w:rPr>
        <w:t xml:space="preserve">totalNumberOfRA-Preambles = </w:t>
      </w:r>
      <w:r w:rsidRPr="00577C33">
        <w:rPr>
          <w:b/>
          <w:bCs/>
          <w:color w:val="4472C4" w:themeColor="accent1"/>
        </w:rPr>
        <w:t>60</w:t>
      </w:r>
    </w:p>
    <w:p w14:paraId="15D944B3" w14:textId="203F7D0C" w:rsidR="003A1E0D" w:rsidRPr="00DD409E" w:rsidRDefault="003A1E0D" w:rsidP="003A1E0D">
      <w:pPr>
        <w:pStyle w:val="PL"/>
        <w:rPr>
          <w:color w:val="FF0000"/>
        </w:rPr>
      </w:pPr>
      <w:r>
        <w:rPr>
          <w:color w:val="FF0000"/>
          <w:lang w:val="en-US"/>
        </w:rPr>
        <w:tab/>
      </w:r>
      <w:r>
        <w:rPr>
          <w:color w:val="FF0000"/>
          <w:lang w:val="en-US"/>
        </w:rPr>
        <w:tab/>
      </w:r>
      <w:r w:rsidR="00912238" w:rsidRPr="00912238">
        <w:rPr>
          <w:color w:val="FF0000"/>
          <w:lang w:val="en-US"/>
        </w:rPr>
        <w:t>featureCombinationPreambles-r17</w:t>
      </w:r>
      <w:r w:rsidRPr="00DD409E">
        <w:rPr>
          <w:color w:val="FF0000"/>
          <w:lang w:val="en-US"/>
        </w:rPr>
        <w:tab/>
        <w:t xml:space="preserve"> = {[</w:t>
      </w:r>
    </w:p>
    <w:p w14:paraId="4B2D50C2" w14:textId="308379A5" w:rsidR="003A1E0D" w:rsidRPr="00DD409E" w:rsidRDefault="003A1E0D" w:rsidP="003A1E0D">
      <w:pPr>
        <w:pStyle w:val="PL"/>
        <w:rPr>
          <w:color w:val="FF0000"/>
        </w:rPr>
      </w:pPr>
      <w:r w:rsidRPr="00DD409E">
        <w:rPr>
          <w:color w:val="FF0000"/>
          <w:lang w:val="en-US"/>
        </w:rPr>
        <w:tab/>
      </w:r>
      <w:r w:rsidRPr="00DD409E">
        <w:rPr>
          <w:color w:val="FF0000"/>
          <w:lang w:val="en-US"/>
        </w:rPr>
        <w:tab/>
      </w:r>
      <w:r w:rsidRPr="00DD409E">
        <w:rPr>
          <w:color w:val="FF0000"/>
          <w:lang w:val="en-US"/>
        </w:rPr>
        <w:tab/>
        <w:t>featureCombination = “RedCap + SmallData”</w:t>
      </w:r>
    </w:p>
    <w:p w14:paraId="247FF221" w14:textId="23DB3919" w:rsidR="003A1E0D" w:rsidRPr="00DD409E" w:rsidRDefault="003A1E0D" w:rsidP="003A1E0D">
      <w:pPr>
        <w:pStyle w:val="PL"/>
        <w:rPr>
          <w:color w:val="FF0000"/>
          <w:lang w:val="en-US"/>
        </w:rPr>
      </w:pPr>
      <w:r w:rsidRPr="00DD409E">
        <w:rPr>
          <w:color w:val="FF0000"/>
          <w:lang w:val="en-US"/>
        </w:rPr>
        <w:tab/>
      </w:r>
      <w:r w:rsidRPr="00DD409E">
        <w:rPr>
          <w:color w:val="FF0000"/>
          <w:lang w:val="en-US"/>
        </w:rPr>
        <w:tab/>
      </w:r>
      <w:r w:rsidRPr="00DD409E">
        <w:rPr>
          <w:color w:val="FF0000"/>
          <w:lang w:val="en-US"/>
        </w:rPr>
        <w:tab/>
      </w:r>
      <w:r w:rsidR="00912238" w:rsidRPr="00912238">
        <w:rPr>
          <w:color w:val="FF0000"/>
        </w:rPr>
        <w:t>legacy-CB-PreamblesPerSSB-PerSharedRO-r16</w:t>
      </w:r>
      <w:r w:rsidR="00912238">
        <w:rPr>
          <w:color w:val="FF0000"/>
        </w:rPr>
        <w:t xml:space="preserve"> </w:t>
      </w:r>
      <w:r w:rsidRPr="00DD409E">
        <w:rPr>
          <w:color w:val="FF0000"/>
          <w:lang w:val="en-US"/>
        </w:rPr>
        <w:t xml:space="preserve">= 5, </w:t>
      </w:r>
    </w:p>
    <w:p w14:paraId="5B7892AF" w14:textId="66C3998C" w:rsidR="003A1E0D" w:rsidRPr="00DD409E" w:rsidRDefault="003A1E0D" w:rsidP="003A1E0D">
      <w:pPr>
        <w:pStyle w:val="PL"/>
        <w:rPr>
          <w:color w:val="FF0000"/>
        </w:rPr>
      </w:pPr>
      <w:r w:rsidRPr="00DD409E">
        <w:rPr>
          <w:color w:val="FF0000"/>
          <w:lang w:val="en-US"/>
        </w:rPr>
        <w:tab/>
      </w:r>
      <w:r w:rsidRPr="00DD409E">
        <w:rPr>
          <w:color w:val="FF0000"/>
          <w:lang w:val="en-US"/>
        </w:rPr>
        <w:tab/>
      </w:r>
      <w:r w:rsidRPr="00DD409E">
        <w:rPr>
          <w:color w:val="FF0000"/>
          <w:lang w:val="en-US"/>
        </w:rPr>
        <w:tab/>
      </w:r>
      <w:r w:rsidR="00912238" w:rsidRPr="00912238">
        <w:rPr>
          <w:color w:val="FF0000"/>
        </w:rPr>
        <w:t>msgA-CB-PreamblesPerSSB-PerSharedRO-r16</w:t>
      </w:r>
      <w:r w:rsidR="00912238">
        <w:rPr>
          <w:color w:val="FF0000"/>
        </w:rPr>
        <w:t xml:space="preserve"> </w:t>
      </w:r>
      <w:r w:rsidRPr="00DD409E">
        <w:rPr>
          <w:color w:val="FF0000"/>
          <w:lang w:val="en-US"/>
        </w:rPr>
        <w:t>= 3,</w:t>
      </w:r>
    </w:p>
    <w:p w14:paraId="3BA03458" w14:textId="0EE2FF93" w:rsidR="003A1E0D" w:rsidRPr="00DD409E" w:rsidRDefault="003A1E0D" w:rsidP="003A1E0D">
      <w:pPr>
        <w:pStyle w:val="PL"/>
        <w:rPr>
          <w:color w:val="FF0000"/>
        </w:rPr>
      </w:pPr>
      <w:r w:rsidRPr="00DD409E">
        <w:rPr>
          <w:color w:val="FF0000"/>
          <w:lang w:val="en-US"/>
        </w:rPr>
        <w:tab/>
      </w:r>
      <w:r w:rsidRPr="00DD409E">
        <w:rPr>
          <w:color w:val="FF0000"/>
          <w:lang w:val="en-US"/>
        </w:rPr>
        <w:tab/>
      </w:r>
      <w:r w:rsidRPr="00DD409E">
        <w:rPr>
          <w:color w:val="FF0000"/>
          <w:lang w:val="en-US"/>
        </w:rPr>
        <w:tab/>
      </w:r>
      <w:r w:rsidRPr="00DD409E">
        <w:rPr>
          <w:color w:val="FF0000"/>
        </w:rPr>
        <w:t xml:space="preserve">SSB-SharedRO-MaskIndex-r16 </w:t>
      </w:r>
      <w:r w:rsidRPr="00DD409E">
        <w:rPr>
          <w:color w:val="FF0000"/>
          <w:lang w:val="en-US"/>
        </w:rPr>
        <w:t>= “RO1 only”</w:t>
      </w:r>
    </w:p>
    <w:p w14:paraId="2DE06D99" w14:textId="35736260" w:rsidR="003A1E0D" w:rsidRPr="003A1E0D" w:rsidRDefault="003A1E0D" w:rsidP="003A1E0D">
      <w:pPr>
        <w:pStyle w:val="PL"/>
      </w:pPr>
      <w:r w:rsidRPr="00DD409E">
        <w:rPr>
          <w:color w:val="FF0000"/>
          <w:lang w:val="en-US"/>
        </w:rPr>
        <w:tab/>
      </w:r>
      <w:r w:rsidRPr="00DD409E">
        <w:rPr>
          <w:color w:val="FF0000"/>
          <w:lang w:val="en-US"/>
        </w:rPr>
        <w:tab/>
        <w:t>]}</w:t>
      </w:r>
    </w:p>
    <w:p w14:paraId="32F0E0C2" w14:textId="1FB5F9EA" w:rsidR="003A1E0D" w:rsidRPr="003A1E0D" w:rsidRDefault="003A1E0D" w:rsidP="003A1E0D">
      <w:pPr>
        <w:pStyle w:val="PL"/>
      </w:pPr>
      <w:r w:rsidRPr="003A1E0D">
        <w:tab/>
        <w:t>}</w:t>
      </w:r>
    </w:p>
    <w:p w14:paraId="23415150" w14:textId="742B496C" w:rsidR="003A1E0D" w:rsidRPr="003A1E0D" w:rsidRDefault="003A1E0D" w:rsidP="003A1E0D">
      <w:pPr>
        <w:pStyle w:val="PL"/>
        <w:rPr>
          <w:color w:val="70AD47" w:themeColor="accent6"/>
        </w:rPr>
      </w:pPr>
      <w:r w:rsidRPr="003A1E0D">
        <w:rPr>
          <w:color w:val="70AD47" w:themeColor="accent6"/>
        </w:rPr>
        <w:tab/>
        <w:t>msgA-ConfigCommon-r16 {</w:t>
      </w:r>
    </w:p>
    <w:p w14:paraId="14A7FD6F" w14:textId="77777777" w:rsidR="003A1E0D" w:rsidRPr="00DD409E" w:rsidRDefault="003A1E0D" w:rsidP="003A1E0D">
      <w:pPr>
        <w:pStyle w:val="PL"/>
        <w:rPr>
          <w:color w:val="70AD47" w:themeColor="accent6"/>
        </w:rPr>
      </w:pPr>
      <w:r w:rsidRPr="003A1E0D">
        <w:rPr>
          <w:color w:val="70AD47" w:themeColor="accent6"/>
        </w:rPr>
        <w:lastRenderedPageBreak/>
        <w:tab/>
      </w:r>
      <w:r w:rsidRPr="003A1E0D">
        <w:rPr>
          <w:color w:val="70AD47" w:themeColor="accent6"/>
        </w:rPr>
        <w:tab/>
      </w:r>
      <w:r w:rsidRPr="00DD409E">
        <w:rPr>
          <w:color w:val="70AD47" w:themeColor="accent6"/>
        </w:rPr>
        <w:t>shared ROs</w:t>
      </w:r>
    </w:p>
    <w:p w14:paraId="0BB2513C" w14:textId="3102B98A" w:rsidR="003A1E0D" w:rsidRPr="00DD409E" w:rsidRDefault="003A1E0D" w:rsidP="003A1E0D">
      <w:pPr>
        <w:pStyle w:val="PL"/>
        <w:rPr>
          <w:color w:val="70AD47" w:themeColor="accent6"/>
        </w:rPr>
      </w:pPr>
      <w:r w:rsidRPr="00DD409E">
        <w:rPr>
          <w:color w:val="70AD47" w:themeColor="accent6"/>
        </w:rPr>
        <w:tab/>
      </w:r>
      <w:r w:rsidRPr="00DD409E">
        <w:rPr>
          <w:color w:val="70AD47" w:themeColor="accent6"/>
        </w:rPr>
        <w:tab/>
        <w:t>SSB-SharedRO-MaskIndex-r16 = “all odd ROs”</w:t>
      </w:r>
    </w:p>
    <w:p w14:paraId="17E2F421" w14:textId="4A18E2F3" w:rsidR="003A1E0D" w:rsidRPr="003A1E0D" w:rsidRDefault="003A1E0D" w:rsidP="003A1E0D">
      <w:pPr>
        <w:pStyle w:val="PL"/>
        <w:rPr>
          <w:color w:val="70AD47" w:themeColor="accent6"/>
        </w:rPr>
      </w:pPr>
      <w:r w:rsidRPr="00DD409E">
        <w:rPr>
          <w:color w:val="70AD47" w:themeColor="accent6"/>
        </w:rPr>
        <w:tab/>
      </w:r>
      <w:r w:rsidRPr="00DD409E">
        <w:rPr>
          <w:color w:val="70AD47" w:themeColor="accent6"/>
        </w:rPr>
        <w:tab/>
      </w:r>
      <w:r w:rsidR="00912238" w:rsidRPr="00912238">
        <w:rPr>
          <w:color w:val="70AD47" w:themeColor="accent6"/>
        </w:rPr>
        <w:t xml:space="preserve">msgA-CB-PreamblesPerSSB-PerSharedRO-r16 </w:t>
      </w:r>
      <w:r w:rsidRPr="00DD409E">
        <w:rPr>
          <w:color w:val="70AD47" w:themeColor="accent6"/>
        </w:rPr>
        <w:t>= 5</w:t>
      </w:r>
      <w:r w:rsidRPr="003A1E0D">
        <w:rPr>
          <w:color w:val="70AD47" w:themeColor="accent6"/>
        </w:rPr>
        <w:tab/>
      </w:r>
    </w:p>
    <w:p w14:paraId="1624386D" w14:textId="2D9CD1D9" w:rsidR="003A1E0D" w:rsidRPr="003A1E0D" w:rsidRDefault="003A1E0D" w:rsidP="003A1E0D">
      <w:pPr>
        <w:pStyle w:val="PL"/>
        <w:rPr>
          <w:color w:val="70AD47" w:themeColor="accent6"/>
        </w:rPr>
      </w:pPr>
      <w:r w:rsidRPr="003A1E0D">
        <w:rPr>
          <w:color w:val="70AD47" w:themeColor="accent6"/>
        </w:rPr>
        <w:tab/>
        <w:t>}</w:t>
      </w:r>
    </w:p>
    <w:p w14:paraId="349B949A" w14:textId="1171C752" w:rsidR="003A1E0D" w:rsidRPr="00A17440" w:rsidRDefault="003A1E0D" w:rsidP="003A1E0D">
      <w:pPr>
        <w:pStyle w:val="PL"/>
      </w:pPr>
      <w:r>
        <w:t>}</w:t>
      </w:r>
    </w:p>
    <w:p w14:paraId="4DED7B37" w14:textId="77777777" w:rsidR="00A17440" w:rsidRDefault="00A17440" w:rsidP="00A17440">
      <w:pPr>
        <w:pStyle w:val="BodyText"/>
        <w:keepNext/>
      </w:pPr>
      <w:r>
        <w:rPr>
          <w:noProof/>
        </w:rPr>
        <w:drawing>
          <wp:inline distT="0" distB="0" distL="0" distR="0" wp14:anchorId="5A424672" wp14:editId="3B955E01">
            <wp:extent cx="6114415" cy="3923665"/>
            <wp:effectExtent l="0" t="0" r="63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923665"/>
                    </a:xfrm>
                    <a:prstGeom prst="rect">
                      <a:avLst/>
                    </a:prstGeom>
                    <a:noFill/>
                    <a:ln>
                      <a:noFill/>
                    </a:ln>
                  </pic:spPr>
                </pic:pic>
              </a:graphicData>
            </a:graphic>
          </wp:inline>
        </w:drawing>
      </w:r>
    </w:p>
    <w:p w14:paraId="2A9CBE6E" w14:textId="5349F5F7" w:rsidR="00A17440" w:rsidRDefault="00A17440" w:rsidP="009B0D3C">
      <w:pPr>
        <w:pStyle w:val="Caption"/>
        <w:jc w:val="center"/>
      </w:pPr>
      <w:bookmarkStart w:id="5" w:name="_Ref90642815"/>
      <w:r>
        <w:t xml:space="preserve">Figure </w:t>
      </w:r>
      <w:r w:rsidR="00297B40">
        <w:fldChar w:fldCharType="begin"/>
      </w:r>
      <w:r w:rsidR="00297B40">
        <w:instrText xml:space="preserve"> SEQ Figure \* ARABIC </w:instrText>
      </w:r>
      <w:r w:rsidR="00297B40">
        <w:fldChar w:fldCharType="separate"/>
      </w:r>
      <w:r>
        <w:rPr>
          <w:noProof/>
        </w:rPr>
        <w:t>2</w:t>
      </w:r>
      <w:r w:rsidR="00297B40">
        <w:rPr>
          <w:noProof/>
        </w:rPr>
        <w:fldChar w:fldCharType="end"/>
      </w:r>
      <w:bookmarkEnd w:id="5"/>
      <w:r>
        <w:t>: Example of additional feature combination mapped to a subset of all ROs in a PRACH slot</w:t>
      </w:r>
    </w:p>
    <w:p w14:paraId="576DF605" w14:textId="51B34614" w:rsidR="00A46561" w:rsidRDefault="00A46561" w:rsidP="00A46561">
      <w:pPr>
        <w:pStyle w:val="BodyText"/>
      </w:pPr>
      <w:r>
        <w:t xml:space="preserve">If we allow only the indication in </w:t>
      </w:r>
      <w:r w:rsidRPr="00A46561">
        <w:rPr>
          <w:i/>
          <w:iCs/>
        </w:rPr>
        <w:t>RACH-</w:t>
      </w:r>
      <w:proofErr w:type="spellStart"/>
      <w:r w:rsidRPr="00A46561">
        <w:rPr>
          <w:i/>
          <w:iCs/>
        </w:rPr>
        <w:t>ConfigCommon</w:t>
      </w:r>
      <w:proofErr w:type="spellEnd"/>
      <w:r>
        <w:t xml:space="preserve">, it would not be possible to have enough granularity to differentiate each single RO. In the same way if we allowed the indication only in </w:t>
      </w:r>
      <w:proofErr w:type="spellStart"/>
      <w:r w:rsidRPr="00A46561">
        <w:rPr>
          <w:i/>
          <w:iCs/>
        </w:rPr>
        <w:t>FeatureCombinationPreamble</w:t>
      </w:r>
      <w:r w:rsidR="00656FD6">
        <w:rPr>
          <w:i/>
          <w:iCs/>
        </w:rPr>
        <w:t>s</w:t>
      </w:r>
      <w:proofErr w:type="spellEnd"/>
      <w:r>
        <w:t xml:space="preserve">, we would have the finest granularity possible, but a RACH configuration with all ROs with the same preambles would still require at least one </w:t>
      </w:r>
      <w:proofErr w:type="spellStart"/>
      <w:r w:rsidRPr="00A46561">
        <w:rPr>
          <w:i/>
          <w:iCs/>
        </w:rPr>
        <w:t>FeatureCombinationPreamble</w:t>
      </w:r>
      <w:r w:rsidR="00656FD6">
        <w:rPr>
          <w:i/>
          <w:iCs/>
        </w:rPr>
        <w:t>s</w:t>
      </w:r>
      <w:proofErr w:type="spellEnd"/>
      <w:r>
        <w:t xml:space="preserve"> IE that would not be required in the proposed case.</w:t>
      </w:r>
    </w:p>
    <w:p w14:paraId="528607A9" w14:textId="02E956D6" w:rsidR="00A46561" w:rsidRPr="00A46561" w:rsidRDefault="00A46561" w:rsidP="00A46561">
      <w:pPr>
        <w:pStyle w:val="BodyText"/>
      </w:pPr>
      <w:r>
        <w:t>Keeping in mind that all these fields are optional in the proposed CR, the current formulation would not imply additional signalling overhead.</w:t>
      </w:r>
    </w:p>
    <w:p w14:paraId="76D2CB6D" w14:textId="24CCA66F" w:rsidR="00A17440" w:rsidRDefault="00A46561" w:rsidP="00A46561">
      <w:pPr>
        <w:pStyle w:val="Proposal"/>
        <w:rPr>
          <w:rFonts w:eastAsia="SimSun"/>
        </w:rPr>
      </w:pPr>
      <w:bookmarkStart w:id="6" w:name="_Toc92793116"/>
      <w:proofErr w:type="spellStart"/>
      <w:r w:rsidRPr="00A46561">
        <w:rPr>
          <w:rFonts w:eastAsia="SimSun"/>
          <w:i/>
          <w:iCs/>
        </w:rPr>
        <w:t>FeatureCombinationIndication</w:t>
      </w:r>
      <w:proofErr w:type="spellEnd"/>
      <w:r>
        <w:rPr>
          <w:rFonts w:eastAsia="SimSun"/>
        </w:rPr>
        <w:t xml:space="preserve"> is present in both </w:t>
      </w:r>
      <w:r w:rsidRPr="00A46561">
        <w:rPr>
          <w:rFonts w:eastAsia="SimSun"/>
          <w:i/>
          <w:iCs/>
        </w:rPr>
        <w:t>RACH-</w:t>
      </w:r>
      <w:proofErr w:type="spellStart"/>
      <w:r w:rsidRPr="00A46561">
        <w:rPr>
          <w:rFonts w:eastAsia="SimSun"/>
          <w:i/>
          <w:iCs/>
        </w:rPr>
        <w:t>ConfigCommon</w:t>
      </w:r>
      <w:proofErr w:type="spellEnd"/>
      <w:r>
        <w:rPr>
          <w:rFonts w:eastAsia="SimSun"/>
        </w:rPr>
        <w:t xml:space="preserve"> and </w:t>
      </w:r>
      <w:proofErr w:type="spellStart"/>
      <w:r w:rsidRPr="00A46561">
        <w:rPr>
          <w:rFonts w:eastAsia="SimSun"/>
          <w:i/>
          <w:iCs/>
        </w:rPr>
        <w:t>FeatureCombinationPreamble</w:t>
      </w:r>
      <w:proofErr w:type="spellEnd"/>
      <w:r>
        <w:rPr>
          <w:rFonts w:eastAsia="SimSun"/>
        </w:rPr>
        <w:t xml:space="preserve"> IEs as originally proposed.</w:t>
      </w:r>
      <w:bookmarkEnd w:id="6"/>
    </w:p>
    <w:p w14:paraId="5A19A7D8" w14:textId="2B50BD92" w:rsidR="00A46561" w:rsidRDefault="00A46561" w:rsidP="00A46561">
      <w:pPr>
        <w:pStyle w:val="BodyText"/>
        <w:rPr>
          <w:rFonts w:eastAsia="SimSun"/>
        </w:rPr>
      </w:pPr>
      <w:r>
        <w:rPr>
          <w:rFonts w:eastAsia="SimSun"/>
        </w:rPr>
        <w:t>Another issue to be solved is in which order the preambles should be determined by the UE in case multiple definition are overlapped in a certain RO.</w:t>
      </w:r>
    </w:p>
    <w:p w14:paraId="538543BC" w14:textId="10D5EA53" w:rsidR="00A46561" w:rsidRDefault="00A46561" w:rsidP="00A46561">
      <w:pPr>
        <w:pStyle w:val="BodyText"/>
        <w:rPr>
          <w:rFonts w:eastAsia="SimSun"/>
        </w:rPr>
      </w:pPr>
      <w:r>
        <w:rPr>
          <w:rFonts w:eastAsia="SimSun"/>
        </w:rPr>
        <w:t>This issue is not tied to the signalling itself, in fact the signalling may specify which features are indicated in the preambles of a ROs and how many CFPR are defined for that feature, but we can adopt any logic we prefer to determine in which order they are defined.</w:t>
      </w:r>
    </w:p>
    <w:p w14:paraId="798B1B23" w14:textId="17D42E8A" w:rsidR="00A46561" w:rsidRDefault="00A46561" w:rsidP="00A46561">
      <w:pPr>
        <w:pStyle w:val="BodyText"/>
        <w:rPr>
          <w:rFonts w:eastAsia="SimSun"/>
        </w:rPr>
      </w:pPr>
      <w:r>
        <w:rPr>
          <w:rFonts w:eastAsia="SimSun"/>
        </w:rPr>
        <w:t xml:space="preserve">Considering that in case further </w:t>
      </w:r>
      <w:proofErr w:type="spellStart"/>
      <w:r>
        <w:rPr>
          <w:rFonts w:eastAsia="SimSun"/>
        </w:rPr>
        <w:t>FeatureCombinationPreamble</w:t>
      </w:r>
      <w:r w:rsidR="00892759">
        <w:rPr>
          <w:rFonts w:eastAsia="SimSun"/>
        </w:rPr>
        <w:t>s</w:t>
      </w:r>
      <w:proofErr w:type="spellEnd"/>
      <w:r>
        <w:rPr>
          <w:rFonts w:eastAsia="SimSun"/>
        </w:rPr>
        <w:t xml:space="preserve"> IEs are defined in the legacy RACH configuration, the logic should be backwards compatible (i.e.: a legacy UE should not select the preambles associated to Rel-17 features) we propose the following</w:t>
      </w:r>
      <w:r w:rsidR="003A1E0D">
        <w:rPr>
          <w:rFonts w:eastAsia="SimSun"/>
        </w:rPr>
        <w:t xml:space="preserve"> to be applied to each set of preambles associated to an SSB (as in legacy)</w:t>
      </w:r>
    </w:p>
    <w:p w14:paraId="126F7A01" w14:textId="6F331C80" w:rsidR="00A46561" w:rsidRDefault="00A46561" w:rsidP="00A46561">
      <w:pPr>
        <w:pStyle w:val="BodyText"/>
        <w:numPr>
          <w:ilvl w:val="0"/>
          <w:numId w:val="15"/>
        </w:numPr>
        <w:rPr>
          <w:rFonts w:eastAsia="SimSun"/>
        </w:rPr>
      </w:pPr>
      <w:r>
        <w:rPr>
          <w:rFonts w:eastAsia="SimSun"/>
        </w:rPr>
        <w:t xml:space="preserve">First </w:t>
      </w:r>
      <w:r w:rsidR="003A1E0D">
        <w:rPr>
          <w:rFonts w:eastAsia="SimSun"/>
        </w:rPr>
        <w:t>there are the 4-step CFPR associated to the “default” feature combination (in the legacy RACH configuration, it is the one with all features disabled)</w:t>
      </w:r>
    </w:p>
    <w:p w14:paraId="16D9402E" w14:textId="0D85F326" w:rsidR="003A1E0D" w:rsidRDefault="003A1E0D" w:rsidP="00A46561">
      <w:pPr>
        <w:pStyle w:val="BodyText"/>
        <w:numPr>
          <w:ilvl w:val="0"/>
          <w:numId w:val="15"/>
        </w:numPr>
        <w:rPr>
          <w:rFonts w:eastAsia="SimSun"/>
        </w:rPr>
      </w:pPr>
      <w:r>
        <w:rPr>
          <w:rFonts w:eastAsia="SimSun"/>
        </w:rPr>
        <w:t>Then there are the 2-step CFPR associated to the “default” feature combination (in the legacy RACH configuration, it is the one with all features disabled)</w:t>
      </w:r>
    </w:p>
    <w:p w14:paraId="66CDA9A8" w14:textId="5F040636" w:rsidR="003A1E0D" w:rsidRDefault="003A1E0D" w:rsidP="00A46561">
      <w:pPr>
        <w:pStyle w:val="BodyText"/>
        <w:numPr>
          <w:ilvl w:val="0"/>
          <w:numId w:val="15"/>
        </w:numPr>
        <w:rPr>
          <w:rFonts w:eastAsia="SimSun"/>
        </w:rPr>
      </w:pPr>
      <w:r>
        <w:rPr>
          <w:rFonts w:eastAsia="SimSun"/>
        </w:rPr>
        <w:t xml:space="preserve">Then there are the CFPR associated to the </w:t>
      </w:r>
      <w:proofErr w:type="spellStart"/>
      <w:r>
        <w:rPr>
          <w:rFonts w:eastAsia="SimSun"/>
        </w:rPr>
        <w:t>FeatureCombinationPreamble</w:t>
      </w:r>
      <w:proofErr w:type="spellEnd"/>
      <w:r>
        <w:rPr>
          <w:rFonts w:eastAsia="SimSun"/>
        </w:rPr>
        <w:t xml:space="preserve"> IE in the order they are configured in the list, first 4-step preambles and then 2-step preambles.</w:t>
      </w:r>
    </w:p>
    <w:p w14:paraId="386F1EDC" w14:textId="1D413FAB" w:rsidR="003A1E0D" w:rsidRDefault="003A1E0D" w:rsidP="00A46561">
      <w:pPr>
        <w:pStyle w:val="BodyText"/>
        <w:numPr>
          <w:ilvl w:val="0"/>
          <w:numId w:val="15"/>
        </w:numPr>
        <w:rPr>
          <w:rFonts w:eastAsia="SimSun"/>
        </w:rPr>
      </w:pPr>
      <w:r>
        <w:rPr>
          <w:rFonts w:eastAsia="SimSun"/>
        </w:rPr>
        <w:lastRenderedPageBreak/>
        <w:t>If enabled, in each subdivision there are first the Group A preambles and then the Group B preambles</w:t>
      </w:r>
      <w:r w:rsidR="00E66197">
        <w:rPr>
          <w:rFonts w:eastAsia="SimSun"/>
        </w:rPr>
        <w:t>, as in legacy</w:t>
      </w:r>
      <w:r>
        <w:rPr>
          <w:rFonts w:eastAsia="SimSun"/>
        </w:rPr>
        <w:t>.</w:t>
      </w:r>
    </w:p>
    <w:p w14:paraId="37780F1D" w14:textId="13E8A022" w:rsidR="003A1E0D" w:rsidRDefault="003A1E0D" w:rsidP="003A1E0D">
      <w:pPr>
        <w:pStyle w:val="BodyText"/>
        <w:rPr>
          <w:rFonts w:eastAsia="SimSun"/>
        </w:rPr>
      </w:pPr>
    </w:p>
    <w:p w14:paraId="5E53EE99" w14:textId="7B9B3ED0" w:rsidR="003A1E0D" w:rsidRDefault="003A1E0D" w:rsidP="003A1E0D">
      <w:pPr>
        <w:pStyle w:val="BodyText"/>
        <w:rPr>
          <w:rFonts w:eastAsia="SimSun"/>
        </w:rPr>
      </w:pPr>
      <w:r>
        <w:rPr>
          <w:rFonts w:eastAsia="SimSun"/>
        </w:rPr>
        <w:t xml:space="preserve">This </w:t>
      </w:r>
      <w:r w:rsidR="00831179">
        <w:rPr>
          <w:rFonts w:eastAsia="SimSun"/>
        </w:rPr>
        <w:t>approach</w:t>
      </w:r>
      <w:r>
        <w:rPr>
          <w:rFonts w:eastAsia="SimSun"/>
        </w:rPr>
        <w:t xml:space="preserve"> is also depicted in </w:t>
      </w:r>
      <w:r>
        <w:rPr>
          <w:rFonts w:eastAsia="SimSun"/>
        </w:rPr>
        <w:fldChar w:fldCharType="begin"/>
      </w:r>
      <w:r>
        <w:rPr>
          <w:rFonts w:eastAsia="SimSun"/>
        </w:rPr>
        <w:instrText xml:space="preserve"> REF _Ref90642815 \h </w:instrText>
      </w:r>
      <w:r>
        <w:rPr>
          <w:rFonts w:eastAsia="SimSun"/>
        </w:rPr>
      </w:r>
      <w:r>
        <w:rPr>
          <w:rFonts w:eastAsia="SimSun"/>
        </w:rPr>
        <w:fldChar w:fldCharType="separate"/>
      </w:r>
      <w:r>
        <w:t xml:space="preserve">Figure </w:t>
      </w:r>
      <w:r>
        <w:rPr>
          <w:noProof/>
        </w:rPr>
        <w:t>2</w:t>
      </w:r>
      <w:r>
        <w:rPr>
          <w:rFonts w:eastAsia="SimSun"/>
        </w:rPr>
        <w:fldChar w:fldCharType="end"/>
      </w:r>
      <w:r>
        <w:rPr>
          <w:rFonts w:eastAsia="SimSun"/>
        </w:rPr>
        <w:t>.</w:t>
      </w:r>
    </w:p>
    <w:p w14:paraId="28377599" w14:textId="77777777" w:rsidR="00DC249B" w:rsidRPr="00DC249B" w:rsidRDefault="00DC249B" w:rsidP="00DC249B">
      <w:pPr>
        <w:pStyle w:val="Proposal"/>
        <w:rPr>
          <w:rFonts w:eastAsia="SimSun"/>
        </w:rPr>
      </w:pPr>
      <w:bookmarkStart w:id="7" w:name="_Toc92793117"/>
      <w:r>
        <w:rPr>
          <w:rFonts w:eastAsia="SimSun"/>
        </w:rPr>
        <w:t>The preambles are determined within each ROs according to the following logic:</w:t>
      </w:r>
      <w:bookmarkEnd w:id="7"/>
    </w:p>
    <w:p w14:paraId="66AB9293" w14:textId="069BF5F5" w:rsidR="00DC249B" w:rsidRPr="00DC249B" w:rsidRDefault="00DC249B" w:rsidP="00DC249B">
      <w:pPr>
        <w:pStyle w:val="Proposal"/>
        <w:numPr>
          <w:ilvl w:val="0"/>
          <w:numId w:val="16"/>
        </w:numPr>
        <w:rPr>
          <w:rFonts w:eastAsia="SimSun"/>
        </w:rPr>
      </w:pPr>
      <w:bookmarkStart w:id="8" w:name="_Toc92793118"/>
      <w:r w:rsidRPr="00DC249B">
        <w:rPr>
          <w:rFonts w:eastAsia="SimSun"/>
        </w:rPr>
        <w:t>First there are the 4-step CFPR associated to the “default” feature combination (in the legacy RACH configuration, it is the one with all features disabled)</w:t>
      </w:r>
      <w:bookmarkEnd w:id="8"/>
    </w:p>
    <w:p w14:paraId="5F22EE76" w14:textId="77777777" w:rsidR="00DC249B" w:rsidRPr="00DC249B" w:rsidRDefault="00DC249B" w:rsidP="00DC249B">
      <w:pPr>
        <w:pStyle w:val="Proposal"/>
        <w:numPr>
          <w:ilvl w:val="0"/>
          <w:numId w:val="16"/>
        </w:numPr>
        <w:rPr>
          <w:rFonts w:eastAsia="SimSun"/>
        </w:rPr>
      </w:pPr>
      <w:bookmarkStart w:id="9" w:name="_Toc92793119"/>
      <w:r w:rsidRPr="00DC249B">
        <w:rPr>
          <w:rFonts w:eastAsia="SimSun"/>
        </w:rPr>
        <w:t>Then there are the 2-step CFPR associated to the “default” feature combination (in the legacy RACH configuration, it is the one with all features disabled)</w:t>
      </w:r>
      <w:bookmarkEnd w:id="9"/>
    </w:p>
    <w:p w14:paraId="5A2315A2" w14:textId="77777777" w:rsidR="00DC249B" w:rsidRPr="00DC249B" w:rsidRDefault="00DC249B" w:rsidP="00DC249B">
      <w:pPr>
        <w:pStyle w:val="Proposal"/>
        <w:numPr>
          <w:ilvl w:val="0"/>
          <w:numId w:val="16"/>
        </w:numPr>
        <w:rPr>
          <w:rFonts w:eastAsia="SimSun"/>
        </w:rPr>
      </w:pPr>
      <w:bookmarkStart w:id="10" w:name="_Toc92793120"/>
      <w:r w:rsidRPr="00DC249B">
        <w:rPr>
          <w:rFonts w:eastAsia="SimSun"/>
        </w:rPr>
        <w:t xml:space="preserve">Then there are the CFPR associated to the </w:t>
      </w:r>
      <w:proofErr w:type="spellStart"/>
      <w:r w:rsidRPr="00DC249B">
        <w:rPr>
          <w:rFonts w:eastAsia="SimSun"/>
        </w:rPr>
        <w:t>FeatureCombinationPreamble</w:t>
      </w:r>
      <w:proofErr w:type="spellEnd"/>
      <w:r w:rsidRPr="00DC249B">
        <w:rPr>
          <w:rFonts w:eastAsia="SimSun"/>
        </w:rPr>
        <w:t xml:space="preserve"> IE in the order they are configured in the list, first 4-step preambles and then 2-step preambles.</w:t>
      </w:r>
      <w:bookmarkEnd w:id="10"/>
    </w:p>
    <w:p w14:paraId="0F01CFDB" w14:textId="77777777" w:rsidR="00DC249B" w:rsidRPr="00DC249B" w:rsidRDefault="00DC249B" w:rsidP="00DC249B">
      <w:pPr>
        <w:pStyle w:val="Proposal"/>
        <w:numPr>
          <w:ilvl w:val="0"/>
          <w:numId w:val="16"/>
        </w:numPr>
        <w:rPr>
          <w:rFonts w:eastAsia="SimSun"/>
        </w:rPr>
      </w:pPr>
      <w:bookmarkStart w:id="11" w:name="_Toc92793121"/>
      <w:r w:rsidRPr="00DC249B">
        <w:rPr>
          <w:rFonts w:eastAsia="SimSun"/>
        </w:rPr>
        <w:t>If enabled, in each subdivision there are first the Group A preambles and then the Group B preambles.</w:t>
      </w:r>
      <w:bookmarkEnd w:id="11"/>
    </w:p>
    <w:p w14:paraId="06602D06" w14:textId="538FBC87" w:rsidR="00DC249B" w:rsidRDefault="00DC249B" w:rsidP="00DC249B">
      <w:pPr>
        <w:pStyle w:val="Proposal"/>
        <w:numPr>
          <w:ilvl w:val="0"/>
          <w:numId w:val="0"/>
        </w:numPr>
        <w:ind w:left="1701" w:hanging="1701"/>
        <w:rPr>
          <w:rFonts w:eastAsia="SimSun"/>
        </w:rPr>
      </w:pPr>
    </w:p>
    <w:p w14:paraId="022FF74E" w14:textId="05444C6A" w:rsidR="00BC1BB8" w:rsidRDefault="00FE0839" w:rsidP="00FE0839">
      <w:pPr>
        <w:pStyle w:val="BodyText"/>
        <w:rPr>
          <w:rFonts w:eastAsia="SimSun"/>
        </w:rPr>
      </w:pPr>
      <w:r>
        <w:rPr>
          <w:rFonts w:eastAsia="SimSun"/>
        </w:rPr>
        <w:t>Finally, there is one further open issue regarding the maximum number of additional RACH configurations that can be defined in the cell.</w:t>
      </w:r>
    </w:p>
    <w:p w14:paraId="6E030784" w14:textId="6E4D0937" w:rsidR="00FE0839" w:rsidRDefault="00FE0839" w:rsidP="00FE0839">
      <w:pPr>
        <w:pStyle w:val="BodyText"/>
        <w:rPr>
          <w:rFonts w:eastAsia="SimSun"/>
        </w:rPr>
      </w:pPr>
      <w:r>
        <w:rPr>
          <w:rFonts w:eastAsia="SimSun"/>
        </w:rPr>
        <w:t>In the most extreme case, it should be possible to configure an additional RACH for each possible combination of features. This depends on the outcome of the discussion on slicing indication, but this maximum number would be 7</w:t>
      </w:r>
      <w:r w:rsidR="007C0068">
        <w:rPr>
          <w:rFonts w:eastAsia="SimSun"/>
        </w:rPr>
        <w:t xml:space="preserve"> per slice</w:t>
      </w:r>
      <w:r>
        <w:rPr>
          <w:rFonts w:eastAsia="SimSun"/>
        </w:rPr>
        <w:t xml:space="preserve"> (all combinations of 3 bits excluding the legacy RACH where all bits are 0s). Notice that it was agreed that there cannot be multiple RACH configurations associated to the same feature combination.</w:t>
      </w:r>
    </w:p>
    <w:p w14:paraId="14206970" w14:textId="15A92D17" w:rsidR="00B3621A" w:rsidRDefault="00B3621A" w:rsidP="00FE0839">
      <w:pPr>
        <w:pStyle w:val="BodyText"/>
        <w:rPr>
          <w:rFonts w:eastAsia="SimSun"/>
        </w:rPr>
      </w:pPr>
      <w:r>
        <w:rPr>
          <w:rFonts w:eastAsia="SimSun"/>
        </w:rPr>
        <w:t>It was already agreed that some combinations will not be supported, but at the same time there is the common understanding that the standard should not artificially prevent some combinations. Moreover, 7 seems a reasonable value for this parameter</w:t>
      </w:r>
      <w:r w:rsidR="006A21A5">
        <w:rPr>
          <w:rFonts w:eastAsia="SimSun"/>
        </w:rPr>
        <w:t>, however for future proofness we could consider 15</w:t>
      </w:r>
      <w:r>
        <w:rPr>
          <w:rFonts w:eastAsia="SimSun"/>
        </w:rPr>
        <w:t>, therefore we propose to adopt this value</w:t>
      </w:r>
      <w:r w:rsidR="00F91C8F">
        <w:rPr>
          <w:rFonts w:eastAsia="SimSun"/>
        </w:rPr>
        <w:t>:</w:t>
      </w:r>
    </w:p>
    <w:p w14:paraId="7EAFD34D" w14:textId="786D42B4" w:rsidR="00267E66" w:rsidRPr="007C0068" w:rsidRDefault="00B3621A" w:rsidP="007C0068">
      <w:pPr>
        <w:pStyle w:val="Proposal"/>
        <w:rPr>
          <w:rFonts w:eastAsia="SimSun"/>
        </w:rPr>
      </w:pPr>
      <w:bookmarkStart w:id="12" w:name="_Toc92793122"/>
      <w:r>
        <w:rPr>
          <w:rFonts w:eastAsia="SimSun"/>
        </w:rPr>
        <w:t xml:space="preserve">maxAdditionalRACH-r17 is set to </w:t>
      </w:r>
      <w:r w:rsidR="00151B90">
        <w:rPr>
          <w:rFonts w:eastAsia="SimSun"/>
        </w:rPr>
        <w:t>15</w:t>
      </w:r>
      <w:r w:rsidR="007C0068">
        <w:rPr>
          <w:rFonts w:eastAsia="SimSun"/>
        </w:rPr>
        <w:t xml:space="preserve"> times the amount of different slices/slice</w:t>
      </w:r>
      <w:r w:rsidR="007C0068" w:rsidRPr="007C0068">
        <w:rPr>
          <w:rFonts w:eastAsia="SimSun"/>
        </w:rPr>
        <w:t xml:space="preserve"> groups</w:t>
      </w:r>
      <w:bookmarkEnd w:id="12"/>
    </w:p>
    <w:p w14:paraId="269A6E62" w14:textId="3CDE6797" w:rsidR="00E0109F" w:rsidRDefault="00E0109F" w:rsidP="00E0109F">
      <w:pPr>
        <w:pStyle w:val="Heading2"/>
      </w:pPr>
      <w:r>
        <w:t>2.3</w:t>
      </w:r>
      <w:r>
        <w:tab/>
        <w:t>Fallback Options</w:t>
      </w:r>
    </w:p>
    <w:p w14:paraId="4A83FED2" w14:textId="627BC6A8" w:rsidR="00E0109F" w:rsidRDefault="00E0109F" w:rsidP="00E0109F">
      <w:pPr>
        <w:pStyle w:val="BodyText"/>
      </w:pPr>
      <w:r>
        <w:t>Another aspect to be discussed related to the overall procedure is whether we should harmonize the fallback and switch behaviour in case of a failed procedure or not. Specifically, we should define what the UE should do in case the access using a certain combination of feature</w:t>
      </w:r>
      <w:r w:rsidR="00565D55">
        <w:t>s</w:t>
      </w:r>
      <w:r>
        <w:t xml:space="preserve"> fails.</w:t>
      </w:r>
    </w:p>
    <w:p w14:paraId="6131CC83" w14:textId="6376A9AF" w:rsidR="00E0109F" w:rsidRDefault="00E0109F" w:rsidP="00E0109F">
      <w:pPr>
        <w:pStyle w:val="BodyText"/>
      </w:pPr>
      <w:r>
        <w:t>One option is clearly to let each feature team determine that, but in case the UE used a combination of more tha</w:t>
      </w:r>
      <w:r w:rsidR="00EF6DAF">
        <w:t>n</w:t>
      </w:r>
      <w:r>
        <w:t xml:space="preserve"> one feature enabled there might be inconsistencies or ambiguous behaviour. Therefore, we propose to define the desired behaviour in this agenda item.</w:t>
      </w:r>
    </w:p>
    <w:p w14:paraId="5A5883CD" w14:textId="798D4266" w:rsidR="007C0068" w:rsidRDefault="007C0068" w:rsidP="00E0109F">
      <w:pPr>
        <w:pStyle w:val="BodyText"/>
      </w:pPr>
      <w:r>
        <w:t>Since the definition of the slicing indication is still FFS, in the remainder of this section we assume that a UE uses for the whole procedure the same slice indication/slice id/slice group and fallbacks from a slice to legacy is FFS in the network slicing WI.</w:t>
      </w:r>
    </w:p>
    <w:p w14:paraId="1BEFD3A6" w14:textId="483F0F29" w:rsidR="00E0109F" w:rsidRDefault="00EF6DAF" w:rsidP="00E0109F">
      <w:pPr>
        <w:pStyle w:val="BodyText"/>
      </w:pPr>
      <w:r>
        <w:t>First</w:t>
      </w:r>
      <w:r w:rsidR="00E0109F">
        <w:t>, we summarize below the current agreements that have already been made in each work item. Notice that for Small Data we are interested only in the RA-SDT case as CG-SDT is not using any Msg1 indication</w:t>
      </w:r>
      <w:r>
        <w:t xml:space="preserve"> and</w:t>
      </w:r>
      <w:r w:rsidR="00E15F83">
        <w:t xml:space="preserve"> for RedCap we are interested only in the Msg1 indication as if only Msg3 indication is used the UE uses the legacy preambles.</w:t>
      </w:r>
    </w:p>
    <w:p w14:paraId="2DDB45E7" w14:textId="7DAA78A7" w:rsidR="00E0109F" w:rsidRDefault="00E0109F" w:rsidP="00E0109F">
      <w:pPr>
        <w:pStyle w:val="Observation"/>
      </w:pPr>
      <w:bookmarkStart w:id="13" w:name="_Ref90458199"/>
      <w:bookmarkStart w:id="14" w:name="_Toc92793131"/>
      <w:r>
        <w:t xml:space="preserve">For RA-SDT, if the UE receives a </w:t>
      </w:r>
      <w:proofErr w:type="spellStart"/>
      <w:r>
        <w:t>fallbackRAR</w:t>
      </w:r>
      <w:proofErr w:type="spellEnd"/>
      <w:r>
        <w:t xml:space="preserve"> it </w:t>
      </w:r>
      <w:r w:rsidR="00B3787A">
        <w:t>behaves as legacy while continuing the RA-SDT session (fallback to 4-step RACH SDT)</w:t>
      </w:r>
      <w:bookmarkEnd w:id="13"/>
      <w:bookmarkEnd w:id="14"/>
    </w:p>
    <w:p w14:paraId="0A909116" w14:textId="7886244B" w:rsidR="00EF1900" w:rsidRDefault="00E15F83" w:rsidP="00EF6DAF">
      <w:pPr>
        <w:pStyle w:val="Observation"/>
      </w:pPr>
      <w:bookmarkStart w:id="15" w:name="_Ref90457354"/>
      <w:bookmarkStart w:id="16" w:name="_Toc92793132"/>
      <w:r>
        <w:t>If the network indicates that UE should use the RedCap Msg1 indication, the UE should always use it for the whole duration of the access</w:t>
      </w:r>
      <w:bookmarkEnd w:id="15"/>
      <w:bookmarkEnd w:id="16"/>
    </w:p>
    <w:p w14:paraId="78157F15" w14:textId="6F745156" w:rsidR="00E15F83" w:rsidRDefault="00E15F83" w:rsidP="00E15F83">
      <w:pPr>
        <w:pStyle w:val="BodyText"/>
      </w:pPr>
      <w:r>
        <w:t xml:space="preserve">Based on these observations, we can define a set of principles that should be followed </w:t>
      </w:r>
      <w:r w:rsidR="00A10FF9">
        <w:t>to determine the general UE behaviour.</w:t>
      </w:r>
    </w:p>
    <w:p w14:paraId="63D3CE34" w14:textId="3ABFB90E" w:rsidR="008D0E3B" w:rsidRDefault="008D0E3B" w:rsidP="00E15F83">
      <w:pPr>
        <w:pStyle w:val="BodyText"/>
      </w:pPr>
      <w:r>
        <w:t>Although there is not an explicit agreement in all W</w:t>
      </w:r>
      <w:r w:rsidR="006F3E38">
        <w:t>I</w:t>
      </w:r>
      <w:r>
        <w:t xml:space="preserve">s beside what described in </w:t>
      </w:r>
      <w:r>
        <w:fldChar w:fldCharType="begin"/>
      </w:r>
      <w:r>
        <w:instrText xml:space="preserve"> REF _Ref90458199 \r \h </w:instrText>
      </w:r>
      <w:r>
        <w:fldChar w:fldCharType="separate"/>
      </w:r>
      <w:r>
        <w:t>Observation 1</w:t>
      </w:r>
      <w:r>
        <w:fldChar w:fldCharType="end"/>
      </w:r>
      <w:r>
        <w:t xml:space="preserve">, it is common understanding that a UE that receives </w:t>
      </w:r>
      <w:proofErr w:type="spellStart"/>
      <w:r>
        <w:t>fallbackRAR</w:t>
      </w:r>
      <w:proofErr w:type="spellEnd"/>
      <w:r>
        <w:t xml:space="preserve"> should </w:t>
      </w:r>
      <w:proofErr w:type="spellStart"/>
      <w:r>
        <w:t>fallback</w:t>
      </w:r>
      <w:proofErr w:type="spellEnd"/>
      <w:r>
        <w:t xml:space="preserve"> to the 4-step RACH version of the ongoing 2-step RACH-based procedure.</w:t>
      </w:r>
    </w:p>
    <w:p w14:paraId="0E562A9B" w14:textId="71F55962" w:rsidR="008D0E3B" w:rsidRDefault="008D0E3B" w:rsidP="008D0E3B">
      <w:pPr>
        <w:pStyle w:val="Proposal"/>
      </w:pPr>
      <w:bookmarkStart w:id="17" w:name="_Toc92793123"/>
      <w:r>
        <w:lastRenderedPageBreak/>
        <w:t xml:space="preserve">If the UE receives </w:t>
      </w:r>
      <w:proofErr w:type="spellStart"/>
      <w:r>
        <w:t>fallbackRAR</w:t>
      </w:r>
      <w:proofErr w:type="spellEnd"/>
      <w:r>
        <w:t xml:space="preserve"> during a 2-step RACH-based procedure it shall fallback to the 4-step RACH version of the same procedure (i.e.: it considers all the indications in </w:t>
      </w:r>
      <w:proofErr w:type="spellStart"/>
      <w:r w:rsidRPr="008D0E3B">
        <w:rPr>
          <w:i/>
          <w:iCs/>
        </w:rPr>
        <w:t>FeatureCombinationIndication</w:t>
      </w:r>
      <w:proofErr w:type="spellEnd"/>
      <w:r>
        <w:t xml:space="preserve"> as unchanged)</w:t>
      </w:r>
      <w:r w:rsidR="00EF1900">
        <w:t xml:space="preserve"> (This is denoted as “Principle 1” or “P1”</w:t>
      </w:r>
      <w:bookmarkEnd w:id="17"/>
    </w:p>
    <w:p w14:paraId="6C7308B3" w14:textId="147E00A9" w:rsidR="00EF1900" w:rsidRDefault="00EF1900" w:rsidP="008D0E3B">
      <w:pPr>
        <w:pStyle w:val="Proposal"/>
      </w:pPr>
      <w:bookmarkStart w:id="18" w:name="_Toc92793124"/>
      <w:r>
        <w:t>As in legacy, fallback from 4-step RACH-based procedure to 2-step RACH-based procedure is not allowed (This is denoted as “Principle 2” or “P2”)</w:t>
      </w:r>
      <w:bookmarkEnd w:id="18"/>
    </w:p>
    <w:p w14:paraId="5C614AB6" w14:textId="74FE629E" w:rsidR="00A10FF9" w:rsidRDefault="008D0E3B" w:rsidP="00E15F83">
      <w:pPr>
        <w:pStyle w:val="BodyText"/>
      </w:pPr>
      <w:r>
        <w:t>Because of</w:t>
      </w:r>
      <w:r w:rsidR="00A10FF9">
        <w:t xml:space="preserve"> </w:t>
      </w:r>
      <w:r w:rsidR="00A10FF9">
        <w:fldChar w:fldCharType="begin"/>
      </w:r>
      <w:r w:rsidR="00A10FF9">
        <w:instrText xml:space="preserve"> REF _Ref90457354 \r \h </w:instrText>
      </w:r>
      <w:r w:rsidR="00A10FF9">
        <w:fldChar w:fldCharType="separate"/>
      </w:r>
      <w:r w:rsidR="00A10FF9">
        <w:t>Observation 3</w:t>
      </w:r>
      <w:r w:rsidR="00A10FF9">
        <w:fldChar w:fldCharType="end"/>
      </w:r>
      <w:r w:rsidR="00A10FF9">
        <w:t>, a RedCap UE that uses Msg1 indication, should never stop using it, and therefore it should only use preambles associated with RedCap feature indication. It is true also the opposite, it is not possible that a UE that is not using Msg1 RedCap indication, start using it later as a fallback.</w:t>
      </w:r>
    </w:p>
    <w:p w14:paraId="5208C136" w14:textId="27D40F49" w:rsidR="00A10FF9" w:rsidRDefault="00A10FF9" w:rsidP="00A10FF9">
      <w:pPr>
        <w:pStyle w:val="Proposal"/>
      </w:pPr>
      <w:bookmarkStart w:id="19" w:name="_Ref90459511"/>
      <w:bookmarkStart w:id="20" w:name="_Toc92793125"/>
      <w:r>
        <w:t xml:space="preserve">A UE cannot switch/fallback from a procedure associated with a certain value of the RedCap bit in </w:t>
      </w:r>
      <w:proofErr w:type="spellStart"/>
      <w:r w:rsidRPr="00A10FF9">
        <w:rPr>
          <w:i/>
          <w:iCs/>
        </w:rPr>
        <w:t>FeatureCombinationIndication</w:t>
      </w:r>
      <w:proofErr w:type="spellEnd"/>
      <w:r>
        <w:t xml:space="preserve"> to its opposite</w:t>
      </w:r>
      <w:bookmarkEnd w:id="19"/>
      <w:r w:rsidR="00EF1900">
        <w:t xml:space="preserve"> (This is denoted as “Principle 3” or “P3”)</w:t>
      </w:r>
      <w:bookmarkEnd w:id="20"/>
    </w:p>
    <w:p w14:paraId="2424CB99" w14:textId="0EAC1D22" w:rsidR="00CE0F98" w:rsidRDefault="00CE0F98" w:rsidP="00CE0F98">
      <w:pPr>
        <w:pStyle w:val="BodyText"/>
      </w:pPr>
      <w:r>
        <w:t>Because of the nature of Coverage Enhancement, if a procedure with this feature enabled fails, it makes no sense to attempt again without Coverage Enhancement. Therefore</w:t>
      </w:r>
      <w:r w:rsidR="00EF6DAF">
        <w:t>,</w:t>
      </w:r>
      <w:r>
        <w:t xml:space="preserve"> a fallback in this direction should be avoided.</w:t>
      </w:r>
    </w:p>
    <w:p w14:paraId="55B4E439" w14:textId="4D2B472F" w:rsidR="00CE0F98" w:rsidRDefault="00CE0F98" w:rsidP="00CE0F98">
      <w:pPr>
        <w:pStyle w:val="Proposal"/>
      </w:pPr>
      <w:bookmarkStart w:id="21" w:name="_Ref90459513"/>
      <w:bookmarkStart w:id="22" w:name="_Toc92793126"/>
      <w:r>
        <w:t xml:space="preserve">A fallback from a procedure with </w:t>
      </w:r>
      <w:proofErr w:type="spellStart"/>
      <w:r>
        <w:t>CovEnh</w:t>
      </w:r>
      <w:proofErr w:type="spellEnd"/>
      <w:r>
        <w:t xml:space="preserve"> enabled to a procedure with </w:t>
      </w:r>
      <w:proofErr w:type="spellStart"/>
      <w:r>
        <w:t>CovEnh</w:t>
      </w:r>
      <w:proofErr w:type="spellEnd"/>
      <w:r>
        <w:t xml:space="preserve"> disabled is not allowed</w:t>
      </w:r>
      <w:bookmarkEnd w:id="21"/>
      <w:r w:rsidR="00EF1900">
        <w:t xml:space="preserve"> (This is denoted as “Principle 4” or “P4”)</w:t>
      </w:r>
      <w:bookmarkEnd w:id="22"/>
    </w:p>
    <w:p w14:paraId="38DC7170" w14:textId="77777777" w:rsidR="00EF6DAF" w:rsidRDefault="00EF6DAF" w:rsidP="00EF6DAF">
      <w:pPr>
        <w:pStyle w:val="BodyText"/>
      </w:pPr>
      <w:r>
        <w:t>Moreover, for Small Data it was agreed that MAC PDU rebuilding is not required. Since a fallback from SDT to non-SDT would require MAC PDU rebuilding we propose to not allow a fallback from SDT to non-SDT procedure. It is also obvious that a fallback from non-SDT to SDT is not allowed since the payload to deliver would not be “Small Data”.</w:t>
      </w:r>
    </w:p>
    <w:p w14:paraId="1056AC52" w14:textId="7BF8B106" w:rsidR="00EF6DAF" w:rsidRDefault="00EF6DAF" w:rsidP="00EF6DAF">
      <w:pPr>
        <w:pStyle w:val="Proposal"/>
      </w:pPr>
      <w:bookmarkStart w:id="23" w:name="_Toc92793127"/>
      <w:r>
        <w:t>A fallback from SDT to non-SDT and from non-SDT to SDT procedure is not allowed (This is denoted as “Principle 5” or “P5”)</w:t>
      </w:r>
      <w:bookmarkEnd w:id="23"/>
    </w:p>
    <w:p w14:paraId="68C1CD79" w14:textId="6D8C55AB" w:rsidR="00CD4BD4" w:rsidRDefault="00EF1900" w:rsidP="00EF1900">
      <w:pPr>
        <w:pStyle w:val="BodyText"/>
      </w:pPr>
      <w:r>
        <w:t xml:space="preserve">By considering all the aforementioned principles, it is possible to build a table representing all possible switches/fallback and eliminate one by one those which does not fulfil the principles as depicted in </w:t>
      </w:r>
      <w:r>
        <w:fldChar w:fldCharType="begin"/>
      </w:r>
      <w:r>
        <w:instrText xml:space="preserve"> REF _Ref90465128 \h </w:instrText>
      </w:r>
      <w:r>
        <w:fldChar w:fldCharType="separate"/>
      </w:r>
      <w:r w:rsidR="00A46561">
        <w:t xml:space="preserve">Figure </w:t>
      </w:r>
      <w:r w:rsidR="00A46561">
        <w:rPr>
          <w:noProof/>
        </w:rPr>
        <w:t>3</w:t>
      </w:r>
      <w:r>
        <w:fldChar w:fldCharType="end"/>
      </w:r>
      <w:r>
        <w:t>.</w:t>
      </w:r>
    </w:p>
    <w:p w14:paraId="4B07515D" w14:textId="1ADCA797" w:rsidR="00EF1900" w:rsidRDefault="0096680D" w:rsidP="00D142D8">
      <w:pPr>
        <w:pStyle w:val="BodyText"/>
      </w:pPr>
      <w:r>
        <w:rPr>
          <w:noProof/>
        </w:rPr>
        <w:drawing>
          <wp:inline distT="0" distB="0" distL="0" distR="0" wp14:anchorId="43E745E4" wp14:editId="227C6FE0">
            <wp:extent cx="6115050" cy="2171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171700"/>
                    </a:xfrm>
                    <a:prstGeom prst="rect">
                      <a:avLst/>
                    </a:prstGeom>
                    <a:noFill/>
                    <a:ln>
                      <a:noFill/>
                    </a:ln>
                  </pic:spPr>
                </pic:pic>
              </a:graphicData>
            </a:graphic>
          </wp:inline>
        </w:drawing>
      </w:r>
    </w:p>
    <w:p w14:paraId="5BB7C827" w14:textId="660D035A" w:rsidR="00CD4BD4" w:rsidRDefault="00EF1900" w:rsidP="00EF1900">
      <w:pPr>
        <w:pStyle w:val="Caption"/>
        <w:jc w:val="both"/>
        <w:rPr>
          <w:noProof/>
        </w:rPr>
      </w:pPr>
      <w:bookmarkStart w:id="24" w:name="_Ref90465128"/>
      <w:r>
        <w:t xml:space="preserve">Figure </w:t>
      </w:r>
      <w:r w:rsidR="00297B40">
        <w:fldChar w:fldCharType="begin"/>
      </w:r>
      <w:r w:rsidR="00297B40">
        <w:instrText xml:space="preserve"> SEQ Figure \* ARABIC </w:instrText>
      </w:r>
      <w:r w:rsidR="00297B40">
        <w:fldChar w:fldCharType="separate"/>
      </w:r>
      <w:r w:rsidR="00A46561">
        <w:rPr>
          <w:noProof/>
        </w:rPr>
        <w:t>3</w:t>
      </w:r>
      <w:r w:rsidR="00297B40">
        <w:rPr>
          <w:noProof/>
        </w:rPr>
        <w:fldChar w:fldCharType="end"/>
      </w:r>
      <w:bookmarkEnd w:id="24"/>
      <w:r>
        <w:t>: All possible fallbacks/switch</w:t>
      </w:r>
      <w:r>
        <w:rPr>
          <w:noProof/>
        </w:rPr>
        <w:t>es considering all possible feature combinations</w:t>
      </w:r>
    </w:p>
    <w:p w14:paraId="57464C79" w14:textId="6E0D36B5" w:rsidR="00EF1900" w:rsidRDefault="00EF1900" w:rsidP="00EF1900">
      <w:pPr>
        <w:pStyle w:val="BodyText"/>
      </w:pPr>
      <w:r>
        <w:t xml:space="preserve">From the figure it is possible to observe that most of the switches/fallbacks should not be allowed and in particular that no procedure should </w:t>
      </w:r>
      <w:proofErr w:type="spellStart"/>
      <w:r>
        <w:t>fallback</w:t>
      </w:r>
      <w:proofErr w:type="spellEnd"/>
      <w:r>
        <w:t xml:space="preserve"> to the legacy </w:t>
      </w:r>
      <w:r w:rsidR="00BB1177">
        <w:t>RA</w:t>
      </w:r>
      <w:r>
        <w:t xml:space="preserve"> procedure (the leftmost column in the table).</w:t>
      </w:r>
    </w:p>
    <w:p w14:paraId="73CBC705" w14:textId="4F6DDBD4" w:rsidR="00EF1900" w:rsidRDefault="00EF1900" w:rsidP="00EF1900">
      <w:pPr>
        <w:pStyle w:val="Proposal"/>
      </w:pPr>
      <w:bookmarkStart w:id="25" w:name="_Toc92793128"/>
      <w:r>
        <w:t xml:space="preserve">It is not allowed in any case to </w:t>
      </w:r>
      <w:proofErr w:type="spellStart"/>
      <w:r>
        <w:t>fallback</w:t>
      </w:r>
      <w:proofErr w:type="spellEnd"/>
      <w:r>
        <w:t xml:space="preserve"> to the legacy </w:t>
      </w:r>
      <w:r w:rsidR="00BB1177">
        <w:t>RA</w:t>
      </w:r>
      <w:r>
        <w:t xml:space="preserve"> procedure</w:t>
      </w:r>
      <w:bookmarkEnd w:id="25"/>
    </w:p>
    <w:p w14:paraId="4CA6B1DF" w14:textId="0633C03B" w:rsidR="00EF1900" w:rsidRDefault="00EF1900" w:rsidP="00EF1900">
      <w:pPr>
        <w:pStyle w:val="BodyText"/>
      </w:pPr>
      <w:r>
        <w:t>The only case where it could make sense to fallback to a different procedure is when a procedure without Coverage Enhancement enabled fails and the UE could perform another attempt enabling this feature. If the failure was due to lack of coverage</w:t>
      </w:r>
      <w:r w:rsidR="00547C31">
        <w:t>, the new attempt may instead succeed.</w:t>
      </w:r>
    </w:p>
    <w:p w14:paraId="0A624EA9" w14:textId="1339A4C7" w:rsidR="00547C31" w:rsidRDefault="00547C31" w:rsidP="00EF1900">
      <w:pPr>
        <w:pStyle w:val="BodyText"/>
      </w:pPr>
      <w:r>
        <w:t>We think that this fallback logic should be considered by the Coverage Enhancement WI but as a baseline a UE should always declare the procedure as failed</w:t>
      </w:r>
      <w:r w:rsidR="00115DEC">
        <w:t xml:space="preserve"> (as in legacy) </w:t>
      </w:r>
      <w:r w:rsidR="0096680D">
        <w:t>and inform the upper layers</w:t>
      </w:r>
      <w:r w:rsidR="00D142D8">
        <w:t>.</w:t>
      </w:r>
      <w:r w:rsidR="0096680D">
        <w:t xml:space="preserve"> The UE behaviour from that point forward should be the same as legacy.</w:t>
      </w:r>
    </w:p>
    <w:p w14:paraId="73003025" w14:textId="65A41FA5" w:rsidR="00547C31" w:rsidRPr="00EF1900" w:rsidRDefault="00547C31" w:rsidP="00547C31">
      <w:pPr>
        <w:pStyle w:val="Proposal"/>
      </w:pPr>
      <w:bookmarkStart w:id="26" w:name="_Toc92793129"/>
      <w:r>
        <w:t>If a procedure with any feature indication enabled fails, the UE should declare the procedure as failed</w:t>
      </w:r>
      <w:r w:rsidR="00C71789">
        <w:t xml:space="preserve"> and </w:t>
      </w:r>
      <w:r w:rsidR="0096680D">
        <w:t>inform the upper layers</w:t>
      </w:r>
      <w:r>
        <w:t xml:space="preserve">. FFS if fallback from procedure with </w:t>
      </w:r>
      <w:proofErr w:type="spellStart"/>
      <w:r>
        <w:t>CovEnh</w:t>
      </w:r>
      <w:proofErr w:type="spellEnd"/>
      <w:r>
        <w:t xml:space="preserve"> disabled to a procedure with </w:t>
      </w:r>
      <w:proofErr w:type="spellStart"/>
      <w:r>
        <w:t>CovEnh</w:t>
      </w:r>
      <w:proofErr w:type="spellEnd"/>
      <w:r>
        <w:t xml:space="preserve"> enabled is allowed</w:t>
      </w:r>
      <w:bookmarkEnd w:id="26"/>
    </w:p>
    <w:p w14:paraId="24B87142" w14:textId="3240C76F" w:rsidR="00C01F33" w:rsidRPr="00CE0424" w:rsidRDefault="001B399C" w:rsidP="00CE0424">
      <w:pPr>
        <w:pStyle w:val="Heading1"/>
      </w:pPr>
      <w:r>
        <w:lastRenderedPageBreak/>
        <w:t xml:space="preserve">3 </w:t>
      </w:r>
      <w:r w:rsidR="00C01F33" w:rsidRPr="00CE0424">
        <w:t>Conclusion</w:t>
      </w:r>
    </w:p>
    <w:p w14:paraId="52DDA640" w14:textId="08D9671E"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D4B41B" w14:textId="69F0D4E1" w:rsidR="0052099B"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92793130" w:history="1">
        <w:r w:rsidR="0052099B" w:rsidRPr="009C2198">
          <w:rPr>
            <w:rStyle w:val="Hyperlink"/>
            <w:noProof/>
          </w:rPr>
          <w:t>Observation 1</w:t>
        </w:r>
        <w:r w:rsidR="0052099B">
          <w:rPr>
            <w:rFonts w:asciiTheme="minorHAnsi" w:eastAsiaTheme="minorEastAsia" w:hAnsiTheme="minorHAnsi" w:cstheme="minorBidi"/>
            <w:b w:val="0"/>
            <w:noProof/>
            <w:sz w:val="22"/>
            <w:szCs w:val="22"/>
          </w:rPr>
          <w:tab/>
        </w:r>
        <w:r w:rsidR="0052099B" w:rsidRPr="009C2198">
          <w:rPr>
            <w:rStyle w:val="Hyperlink"/>
            <w:noProof/>
          </w:rPr>
          <w:t xml:space="preserve">The </w:t>
        </w:r>
        <w:r w:rsidR="0052099B" w:rsidRPr="009C2198">
          <w:rPr>
            <w:rStyle w:val="Hyperlink"/>
            <w:i/>
            <w:iCs/>
            <w:noProof/>
          </w:rPr>
          <w:t>FeatureCombination</w:t>
        </w:r>
        <w:r w:rsidR="0052099B" w:rsidRPr="009C2198">
          <w:rPr>
            <w:rStyle w:val="Hyperlink"/>
            <w:noProof/>
          </w:rPr>
          <w:t xml:space="preserve">-indication in </w:t>
        </w:r>
        <w:r w:rsidR="0052099B" w:rsidRPr="009C2198">
          <w:rPr>
            <w:rStyle w:val="Hyperlink"/>
            <w:i/>
            <w:iCs/>
            <w:noProof/>
          </w:rPr>
          <w:t>RACH-ConfigCommon</w:t>
        </w:r>
        <w:r w:rsidR="0052099B" w:rsidRPr="009C2198">
          <w:rPr>
            <w:rStyle w:val="Hyperlink"/>
            <w:noProof/>
          </w:rPr>
          <w:t xml:space="preserve"> allows a complete RACH configuration to be assigned to a feature combination.</w:t>
        </w:r>
      </w:hyperlink>
    </w:p>
    <w:p w14:paraId="7C0E715B" w14:textId="104A0599"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31" w:history="1">
        <w:r w:rsidRPr="009C2198">
          <w:rPr>
            <w:rStyle w:val="Hyperlink"/>
            <w:noProof/>
          </w:rPr>
          <w:t>Observation 2</w:t>
        </w:r>
        <w:r>
          <w:rPr>
            <w:rFonts w:asciiTheme="minorHAnsi" w:eastAsiaTheme="minorEastAsia" w:hAnsiTheme="minorHAnsi" w:cstheme="minorBidi"/>
            <w:b w:val="0"/>
            <w:noProof/>
            <w:sz w:val="22"/>
            <w:szCs w:val="22"/>
          </w:rPr>
          <w:tab/>
        </w:r>
        <w:r w:rsidRPr="009C2198">
          <w:rPr>
            <w:rStyle w:val="Hyperlink"/>
            <w:noProof/>
          </w:rPr>
          <w:t>For RA-SDT, if the UE receives a fallbackRAR it behaves as legacy while continuing the RA-SDT session (fallback to 4-step RACH SDT)</w:t>
        </w:r>
      </w:hyperlink>
    </w:p>
    <w:p w14:paraId="511FB282" w14:textId="6C5953BF"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32" w:history="1">
        <w:r w:rsidRPr="009C2198">
          <w:rPr>
            <w:rStyle w:val="Hyperlink"/>
            <w:noProof/>
          </w:rPr>
          <w:t>Observation 3</w:t>
        </w:r>
        <w:r>
          <w:rPr>
            <w:rFonts w:asciiTheme="minorHAnsi" w:eastAsiaTheme="minorEastAsia" w:hAnsiTheme="minorHAnsi" w:cstheme="minorBidi"/>
            <w:b w:val="0"/>
            <w:noProof/>
            <w:sz w:val="22"/>
            <w:szCs w:val="22"/>
          </w:rPr>
          <w:tab/>
        </w:r>
        <w:r w:rsidRPr="009C2198">
          <w:rPr>
            <w:rStyle w:val="Hyperlink"/>
            <w:noProof/>
          </w:rPr>
          <w:t>If the network indicates that UE should use the RedCap Msg1 indication, the UE should always use it for the whole duration of the access</w:t>
        </w:r>
      </w:hyperlink>
    </w:p>
    <w:p w14:paraId="556A3D54" w14:textId="48100835" w:rsidR="006E1C82" w:rsidRDefault="006F6582" w:rsidP="008E065E">
      <w:pPr>
        <w:pStyle w:val="BodyText"/>
        <w:rPr>
          <w:b/>
          <w:bCs/>
        </w:rPr>
      </w:pPr>
      <w:r>
        <w:rPr>
          <w:b/>
          <w:bCs/>
        </w:rPr>
        <w:fldChar w:fldCharType="end"/>
      </w:r>
    </w:p>
    <w:p w14:paraId="3C066E42" w14:textId="60A766D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AA30FCA" w14:textId="3146A9CB" w:rsidR="0052099B" w:rsidRDefault="00F15037">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92793114" w:history="1">
        <w:r w:rsidR="0052099B" w:rsidRPr="005C5BB8">
          <w:rPr>
            <w:rStyle w:val="Hyperlink"/>
            <w:rFonts w:eastAsia="SimSun"/>
            <w:noProof/>
          </w:rPr>
          <w:t>Proposal 1</w:t>
        </w:r>
        <w:r w:rsidR="0052099B">
          <w:rPr>
            <w:rFonts w:asciiTheme="minorHAnsi" w:eastAsiaTheme="minorEastAsia" w:hAnsiTheme="minorHAnsi" w:cstheme="minorBidi"/>
            <w:b w:val="0"/>
            <w:noProof/>
            <w:sz w:val="22"/>
            <w:szCs w:val="22"/>
          </w:rPr>
          <w:tab/>
        </w:r>
        <w:r w:rsidR="0052099B" w:rsidRPr="005C5BB8">
          <w:rPr>
            <w:rStyle w:val="Hyperlink"/>
            <w:rFonts w:eastAsia="SimSun"/>
            <w:noProof/>
          </w:rPr>
          <w:t>The fields in the FeatureCombination are named "redCap-Msg1-Indication", "smallData" and "msg3-Repetition". Slicing is TBD.</w:t>
        </w:r>
      </w:hyperlink>
    </w:p>
    <w:p w14:paraId="6CA1A3E7" w14:textId="56B2812D"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15" w:history="1">
        <w:r w:rsidRPr="005C5BB8">
          <w:rPr>
            <w:rStyle w:val="Hyperlink"/>
            <w:rFonts w:eastAsia="SimSun"/>
            <w:noProof/>
          </w:rPr>
          <w:t>Proposal 2</w:t>
        </w:r>
        <w:r>
          <w:rPr>
            <w:rFonts w:asciiTheme="minorHAnsi" w:eastAsiaTheme="minorEastAsia" w:hAnsiTheme="minorHAnsi" w:cstheme="minorBidi"/>
            <w:b w:val="0"/>
            <w:noProof/>
            <w:sz w:val="22"/>
            <w:szCs w:val="22"/>
          </w:rPr>
          <w:tab/>
        </w:r>
        <w:r w:rsidRPr="005C5BB8">
          <w:rPr>
            <w:rStyle w:val="Hyperlink"/>
            <w:rFonts w:eastAsia="SimSun"/>
            <w:noProof/>
          </w:rPr>
          <w:t xml:space="preserve">The indication representing the Coverage Enhancement feature is part of </w:t>
        </w:r>
        <w:r w:rsidRPr="005C5BB8">
          <w:rPr>
            <w:rStyle w:val="Hyperlink"/>
            <w:rFonts w:eastAsia="SimSun"/>
            <w:i/>
            <w:iCs/>
            <w:noProof/>
          </w:rPr>
          <w:t>FeatureCombination</w:t>
        </w:r>
      </w:hyperlink>
    </w:p>
    <w:p w14:paraId="1019C7DC" w14:textId="72E49297"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16" w:history="1">
        <w:r w:rsidRPr="005C5BB8">
          <w:rPr>
            <w:rStyle w:val="Hyperlink"/>
            <w:rFonts w:eastAsia="SimSun"/>
            <w:noProof/>
          </w:rPr>
          <w:t>Proposal 3</w:t>
        </w:r>
        <w:r>
          <w:rPr>
            <w:rFonts w:asciiTheme="minorHAnsi" w:eastAsiaTheme="minorEastAsia" w:hAnsiTheme="minorHAnsi" w:cstheme="minorBidi"/>
            <w:b w:val="0"/>
            <w:noProof/>
            <w:sz w:val="22"/>
            <w:szCs w:val="22"/>
          </w:rPr>
          <w:tab/>
        </w:r>
        <w:r w:rsidRPr="005C5BB8">
          <w:rPr>
            <w:rStyle w:val="Hyperlink"/>
            <w:rFonts w:eastAsia="SimSun"/>
            <w:i/>
            <w:iCs/>
            <w:noProof/>
          </w:rPr>
          <w:t>FeatureCombinationIndication</w:t>
        </w:r>
        <w:r w:rsidRPr="005C5BB8">
          <w:rPr>
            <w:rStyle w:val="Hyperlink"/>
            <w:rFonts w:eastAsia="SimSun"/>
            <w:noProof/>
          </w:rPr>
          <w:t xml:space="preserve"> is present in both </w:t>
        </w:r>
        <w:r w:rsidRPr="005C5BB8">
          <w:rPr>
            <w:rStyle w:val="Hyperlink"/>
            <w:rFonts w:eastAsia="SimSun"/>
            <w:i/>
            <w:iCs/>
            <w:noProof/>
          </w:rPr>
          <w:t>RACH-ConfigCommon</w:t>
        </w:r>
        <w:r w:rsidRPr="005C5BB8">
          <w:rPr>
            <w:rStyle w:val="Hyperlink"/>
            <w:rFonts w:eastAsia="SimSun"/>
            <w:noProof/>
          </w:rPr>
          <w:t xml:space="preserve"> and </w:t>
        </w:r>
        <w:r w:rsidRPr="005C5BB8">
          <w:rPr>
            <w:rStyle w:val="Hyperlink"/>
            <w:rFonts w:eastAsia="SimSun"/>
            <w:i/>
            <w:iCs/>
            <w:noProof/>
          </w:rPr>
          <w:t>FeatureCombinationPreamble</w:t>
        </w:r>
        <w:r w:rsidRPr="005C5BB8">
          <w:rPr>
            <w:rStyle w:val="Hyperlink"/>
            <w:rFonts w:eastAsia="SimSun"/>
            <w:noProof/>
          </w:rPr>
          <w:t xml:space="preserve"> IEs as originally proposed.</w:t>
        </w:r>
      </w:hyperlink>
    </w:p>
    <w:p w14:paraId="48150EF9" w14:textId="2443EEE8"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17" w:history="1">
        <w:r w:rsidRPr="005C5BB8">
          <w:rPr>
            <w:rStyle w:val="Hyperlink"/>
            <w:rFonts w:eastAsia="SimSun"/>
            <w:noProof/>
          </w:rPr>
          <w:t>Proposal 4</w:t>
        </w:r>
        <w:r>
          <w:rPr>
            <w:rFonts w:asciiTheme="minorHAnsi" w:eastAsiaTheme="minorEastAsia" w:hAnsiTheme="minorHAnsi" w:cstheme="minorBidi"/>
            <w:b w:val="0"/>
            <w:noProof/>
            <w:sz w:val="22"/>
            <w:szCs w:val="22"/>
          </w:rPr>
          <w:tab/>
        </w:r>
        <w:r w:rsidRPr="005C5BB8">
          <w:rPr>
            <w:rStyle w:val="Hyperlink"/>
            <w:rFonts w:eastAsia="SimSun"/>
            <w:noProof/>
          </w:rPr>
          <w:t>The preambles are determined within each ROs according to the following logic:</w:t>
        </w:r>
      </w:hyperlink>
    </w:p>
    <w:p w14:paraId="6AEC4E4E" w14:textId="39AAD6D0"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18" w:history="1">
        <w:r w:rsidRPr="005C5BB8">
          <w:rPr>
            <w:rStyle w:val="Hyperlink"/>
            <w:rFonts w:ascii="Symbol" w:eastAsia="SimSun" w:hAnsi="Symbol"/>
            <w:noProof/>
          </w:rPr>
          <w:t></w:t>
        </w:r>
        <w:r>
          <w:rPr>
            <w:rFonts w:asciiTheme="minorHAnsi" w:eastAsiaTheme="minorEastAsia" w:hAnsiTheme="minorHAnsi" w:cstheme="minorBidi"/>
            <w:b w:val="0"/>
            <w:noProof/>
            <w:sz w:val="22"/>
            <w:szCs w:val="22"/>
          </w:rPr>
          <w:tab/>
        </w:r>
        <w:r w:rsidRPr="005C5BB8">
          <w:rPr>
            <w:rStyle w:val="Hyperlink"/>
            <w:rFonts w:eastAsia="SimSun"/>
            <w:noProof/>
          </w:rPr>
          <w:t>First there are the 4-step CFPR associated to the “default” feature combination (in the legacy RACH configuration, it is the one with all features disabled)</w:t>
        </w:r>
      </w:hyperlink>
    </w:p>
    <w:p w14:paraId="0684FD1A" w14:textId="1262CA54"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19" w:history="1">
        <w:r w:rsidRPr="005C5BB8">
          <w:rPr>
            <w:rStyle w:val="Hyperlink"/>
            <w:rFonts w:ascii="Symbol" w:eastAsia="SimSun" w:hAnsi="Symbol"/>
            <w:noProof/>
          </w:rPr>
          <w:t></w:t>
        </w:r>
        <w:r>
          <w:rPr>
            <w:rFonts w:asciiTheme="minorHAnsi" w:eastAsiaTheme="minorEastAsia" w:hAnsiTheme="minorHAnsi" w:cstheme="minorBidi"/>
            <w:b w:val="0"/>
            <w:noProof/>
            <w:sz w:val="22"/>
            <w:szCs w:val="22"/>
          </w:rPr>
          <w:tab/>
        </w:r>
        <w:r w:rsidRPr="005C5BB8">
          <w:rPr>
            <w:rStyle w:val="Hyperlink"/>
            <w:rFonts w:eastAsia="SimSun"/>
            <w:noProof/>
          </w:rPr>
          <w:t>Then there are the 2-step CFPR associated to the “default” feature combination (in the legacy RACH configuration, it is the one with all features disabled)</w:t>
        </w:r>
      </w:hyperlink>
    </w:p>
    <w:p w14:paraId="36EE7E2D" w14:textId="49B15806"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0" w:history="1">
        <w:r w:rsidRPr="005C5BB8">
          <w:rPr>
            <w:rStyle w:val="Hyperlink"/>
            <w:rFonts w:ascii="Symbol" w:eastAsia="SimSun" w:hAnsi="Symbol"/>
            <w:noProof/>
          </w:rPr>
          <w:t></w:t>
        </w:r>
        <w:r>
          <w:rPr>
            <w:rFonts w:asciiTheme="minorHAnsi" w:eastAsiaTheme="minorEastAsia" w:hAnsiTheme="minorHAnsi" w:cstheme="minorBidi"/>
            <w:b w:val="0"/>
            <w:noProof/>
            <w:sz w:val="22"/>
            <w:szCs w:val="22"/>
          </w:rPr>
          <w:tab/>
        </w:r>
        <w:r w:rsidRPr="005C5BB8">
          <w:rPr>
            <w:rStyle w:val="Hyperlink"/>
            <w:rFonts w:eastAsia="SimSun"/>
            <w:noProof/>
          </w:rPr>
          <w:t>Then there are the CFPR associated to the FeatureCombinationPreamble IE in the order they are configured in the list, first 4-step preambles and then 2-step preambles.</w:t>
        </w:r>
      </w:hyperlink>
    </w:p>
    <w:p w14:paraId="766B52DF" w14:textId="6955856C"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1" w:history="1">
        <w:r w:rsidRPr="005C5BB8">
          <w:rPr>
            <w:rStyle w:val="Hyperlink"/>
            <w:rFonts w:ascii="Symbol" w:eastAsia="SimSun" w:hAnsi="Symbol"/>
            <w:noProof/>
          </w:rPr>
          <w:t></w:t>
        </w:r>
        <w:r>
          <w:rPr>
            <w:rFonts w:asciiTheme="minorHAnsi" w:eastAsiaTheme="minorEastAsia" w:hAnsiTheme="minorHAnsi" w:cstheme="minorBidi"/>
            <w:b w:val="0"/>
            <w:noProof/>
            <w:sz w:val="22"/>
            <w:szCs w:val="22"/>
          </w:rPr>
          <w:tab/>
        </w:r>
        <w:r w:rsidRPr="005C5BB8">
          <w:rPr>
            <w:rStyle w:val="Hyperlink"/>
            <w:rFonts w:eastAsia="SimSun"/>
            <w:noProof/>
          </w:rPr>
          <w:t>If enabled, in each subdivision there are first the Group A preambles and then the Group B preambles.</w:t>
        </w:r>
      </w:hyperlink>
    </w:p>
    <w:p w14:paraId="0E571CA4" w14:textId="57620FE6"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2" w:history="1">
        <w:r w:rsidRPr="005C5BB8">
          <w:rPr>
            <w:rStyle w:val="Hyperlink"/>
            <w:rFonts w:eastAsia="SimSun"/>
            <w:noProof/>
          </w:rPr>
          <w:t>Proposal 5</w:t>
        </w:r>
        <w:r>
          <w:rPr>
            <w:rFonts w:asciiTheme="minorHAnsi" w:eastAsiaTheme="minorEastAsia" w:hAnsiTheme="minorHAnsi" w:cstheme="minorBidi"/>
            <w:b w:val="0"/>
            <w:noProof/>
            <w:sz w:val="22"/>
            <w:szCs w:val="22"/>
          </w:rPr>
          <w:tab/>
        </w:r>
        <w:r w:rsidRPr="005C5BB8">
          <w:rPr>
            <w:rStyle w:val="Hyperlink"/>
            <w:rFonts w:eastAsia="SimSun"/>
            <w:noProof/>
          </w:rPr>
          <w:t>maxAdditionalRACH-r17 is set to 15 times the amount of different slices/slice groups</w:t>
        </w:r>
      </w:hyperlink>
    </w:p>
    <w:p w14:paraId="3EF27B26" w14:textId="360989D8"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3" w:history="1">
        <w:r w:rsidRPr="005C5BB8">
          <w:rPr>
            <w:rStyle w:val="Hyperlink"/>
            <w:noProof/>
          </w:rPr>
          <w:t>Proposal 6</w:t>
        </w:r>
        <w:r>
          <w:rPr>
            <w:rFonts w:asciiTheme="minorHAnsi" w:eastAsiaTheme="minorEastAsia" w:hAnsiTheme="minorHAnsi" w:cstheme="minorBidi"/>
            <w:b w:val="0"/>
            <w:noProof/>
            <w:sz w:val="22"/>
            <w:szCs w:val="22"/>
          </w:rPr>
          <w:tab/>
        </w:r>
        <w:r w:rsidRPr="005C5BB8">
          <w:rPr>
            <w:rStyle w:val="Hyperlink"/>
            <w:noProof/>
          </w:rPr>
          <w:t xml:space="preserve">If the UE receives fallbackRAR during a 2-step RACH-based procedure it shall fallback to the 4-step RACH version of the same procedure (i.e.: it considers all the indications in </w:t>
        </w:r>
        <w:r w:rsidRPr="005C5BB8">
          <w:rPr>
            <w:rStyle w:val="Hyperlink"/>
            <w:i/>
            <w:iCs/>
            <w:noProof/>
          </w:rPr>
          <w:t>FeatureCombinationIndication</w:t>
        </w:r>
        <w:r w:rsidRPr="005C5BB8">
          <w:rPr>
            <w:rStyle w:val="Hyperlink"/>
            <w:noProof/>
          </w:rPr>
          <w:t xml:space="preserve"> as unchanged) (This is denoted as “Principle 1” or “P1”</w:t>
        </w:r>
      </w:hyperlink>
    </w:p>
    <w:p w14:paraId="776B23CA" w14:textId="5D60E96D"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4" w:history="1">
        <w:r w:rsidRPr="005C5BB8">
          <w:rPr>
            <w:rStyle w:val="Hyperlink"/>
            <w:noProof/>
          </w:rPr>
          <w:t>Proposal 7</w:t>
        </w:r>
        <w:r>
          <w:rPr>
            <w:rFonts w:asciiTheme="minorHAnsi" w:eastAsiaTheme="minorEastAsia" w:hAnsiTheme="minorHAnsi" w:cstheme="minorBidi"/>
            <w:b w:val="0"/>
            <w:noProof/>
            <w:sz w:val="22"/>
            <w:szCs w:val="22"/>
          </w:rPr>
          <w:tab/>
        </w:r>
        <w:r w:rsidRPr="005C5BB8">
          <w:rPr>
            <w:rStyle w:val="Hyperlink"/>
            <w:noProof/>
          </w:rPr>
          <w:t>As in legacy, fallback from 4-step RACH-based procedure to 2-step RACH-based procedure is not allowed (This is denoted as “Principle 2” or “P2”)</w:t>
        </w:r>
      </w:hyperlink>
    </w:p>
    <w:p w14:paraId="6448E50E" w14:textId="7D9FA06D"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5" w:history="1">
        <w:r w:rsidRPr="005C5BB8">
          <w:rPr>
            <w:rStyle w:val="Hyperlink"/>
            <w:noProof/>
          </w:rPr>
          <w:t>Proposal 8</w:t>
        </w:r>
        <w:r>
          <w:rPr>
            <w:rFonts w:asciiTheme="minorHAnsi" w:eastAsiaTheme="minorEastAsia" w:hAnsiTheme="minorHAnsi" w:cstheme="minorBidi"/>
            <w:b w:val="0"/>
            <w:noProof/>
            <w:sz w:val="22"/>
            <w:szCs w:val="22"/>
          </w:rPr>
          <w:tab/>
        </w:r>
        <w:r w:rsidRPr="005C5BB8">
          <w:rPr>
            <w:rStyle w:val="Hyperlink"/>
            <w:noProof/>
          </w:rPr>
          <w:t xml:space="preserve">A UE cannot switch/fallback from a procedure associated with a certain value of the RedCap bit in </w:t>
        </w:r>
        <w:r w:rsidRPr="005C5BB8">
          <w:rPr>
            <w:rStyle w:val="Hyperlink"/>
            <w:i/>
            <w:iCs/>
            <w:noProof/>
          </w:rPr>
          <w:t>FeatureCombinationIndication</w:t>
        </w:r>
        <w:r w:rsidRPr="005C5BB8">
          <w:rPr>
            <w:rStyle w:val="Hyperlink"/>
            <w:noProof/>
          </w:rPr>
          <w:t xml:space="preserve"> to its opposite (This is denoted as “Principle 3” or “P3”)</w:t>
        </w:r>
      </w:hyperlink>
    </w:p>
    <w:p w14:paraId="5B8840D9" w14:textId="2936DE9F"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6" w:history="1">
        <w:r w:rsidRPr="005C5BB8">
          <w:rPr>
            <w:rStyle w:val="Hyperlink"/>
            <w:noProof/>
          </w:rPr>
          <w:t>Proposal 9</w:t>
        </w:r>
        <w:r>
          <w:rPr>
            <w:rFonts w:asciiTheme="minorHAnsi" w:eastAsiaTheme="minorEastAsia" w:hAnsiTheme="minorHAnsi" w:cstheme="minorBidi"/>
            <w:b w:val="0"/>
            <w:noProof/>
            <w:sz w:val="22"/>
            <w:szCs w:val="22"/>
          </w:rPr>
          <w:tab/>
        </w:r>
        <w:r w:rsidRPr="005C5BB8">
          <w:rPr>
            <w:rStyle w:val="Hyperlink"/>
            <w:noProof/>
          </w:rPr>
          <w:t>A fallback from a procedure with CovEnh enabled to a procedure with CovEnh disabled is not allowed (This is denoted as “Principle 4” or “P4”)</w:t>
        </w:r>
      </w:hyperlink>
    </w:p>
    <w:p w14:paraId="152C9ADA" w14:textId="6502FBF3"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7" w:history="1">
        <w:r w:rsidRPr="005C5BB8">
          <w:rPr>
            <w:rStyle w:val="Hyperlink"/>
            <w:noProof/>
          </w:rPr>
          <w:t>Proposal 10</w:t>
        </w:r>
        <w:r>
          <w:rPr>
            <w:rFonts w:asciiTheme="minorHAnsi" w:eastAsiaTheme="minorEastAsia" w:hAnsiTheme="minorHAnsi" w:cstheme="minorBidi"/>
            <w:b w:val="0"/>
            <w:noProof/>
            <w:sz w:val="22"/>
            <w:szCs w:val="22"/>
          </w:rPr>
          <w:tab/>
        </w:r>
        <w:r w:rsidRPr="005C5BB8">
          <w:rPr>
            <w:rStyle w:val="Hyperlink"/>
            <w:noProof/>
          </w:rPr>
          <w:t>A fallback from SDT to non-SDT and from non-SDT to SDT procedure is not allowed (This is denoted as “Principle 5” or “P5”)</w:t>
        </w:r>
      </w:hyperlink>
    </w:p>
    <w:p w14:paraId="6B3D64C0" w14:textId="15758366"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8" w:history="1">
        <w:r w:rsidRPr="005C5BB8">
          <w:rPr>
            <w:rStyle w:val="Hyperlink"/>
            <w:noProof/>
          </w:rPr>
          <w:t>Proposal 11</w:t>
        </w:r>
        <w:r>
          <w:rPr>
            <w:rFonts w:asciiTheme="minorHAnsi" w:eastAsiaTheme="minorEastAsia" w:hAnsiTheme="minorHAnsi" w:cstheme="minorBidi"/>
            <w:b w:val="0"/>
            <w:noProof/>
            <w:sz w:val="22"/>
            <w:szCs w:val="22"/>
          </w:rPr>
          <w:tab/>
        </w:r>
        <w:r w:rsidRPr="005C5BB8">
          <w:rPr>
            <w:rStyle w:val="Hyperlink"/>
            <w:noProof/>
          </w:rPr>
          <w:t>It is not allowed in any case to fallback to the legacy RA procedure</w:t>
        </w:r>
      </w:hyperlink>
    </w:p>
    <w:p w14:paraId="2D4F0580" w14:textId="7501CAD1" w:rsidR="0052099B" w:rsidRDefault="0052099B">
      <w:pPr>
        <w:pStyle w:val="TableofFigures"/>
        <w:tabs>
          <w:tab w:val="right" w:leader="dot" w:pos="9629"/>
        </w:tabs>
        <w:rPr>
          <w:rFonts w:asciiTheme="minorHAnsi" w:eastAsiaTheme="minorEastAsia" w:hAnsiTheme="minorHAnsi" w:cstheme="minorBidi"/>
          <w:b w:val="0"/>
          <w:noProof/>
          <w:sz w:val="22"/>
          <w:szCs w:val="22"/>
        </w:rPr>
      </w:pPr>
      <w:hyperlink w:anchor="_Toc92793129" w:history="1">
        <w:r w:rsidRPr="005C5BB8">
          <w:rPr>
            <w:rStyle w:val="Hyperlink"/>
            <w:noProof/>
          </w:rPr>
          <w:t>Proposal 12</w:t>
        </w:r>
        <w:r>
          <w:rPr>
            <w:rFonts w:asciiTheme="minorHAnsi" w:eastAsiaTheme="minorEastAsia" w:hAnsiTheme="minorHAnsi" w:cstheme="minorBidi"/>
            <w:b w:val="0"/>
            <w:noProof/>
            <w:sz w:val="22"/>
            <w:szCs w:val="22"/>
          </w:rPr>
          <w:tab/>
        </w:r>
        <w:r w:rsidRPr="005C5BB8">
          <w:rPr>
            <w:rStyle w:val="Hyperlink"/>
            <w:noProof/>
          </w:rPr>
          <w:t>If a procedure with any feature indication enabled fails, the UE should declare the procedure as failed and inform the upper layers. FFS if fallback from procedure with CovEnh disabled to a procedure with CovEnh enabled is allowed</w:t>
        </w:r>
      </w:hyperlink>
    </w:p>
    <w:p w14:paraId="263C529E" w14:textId="4B92BAC5" w:rsidR="009353FB" w:rsidRPr="00A04F49" w:rsidRDefault="00F15037" w:rsidP="00B100D4">
      <w:pPr>
        <w:pStyle w:val="BodyText"/>
      </w:pPr>
      <w:r>
        <w:rPr>
          <w:b/>
          <w:bCs/>
          <w:lang w:val="en-US"/>
        </w:rPr>
        <w:fldChar w:fldCharType="end"/>
      </w:r>
      <w:r w:rsidRPr="00CE0424">
        <w:rPr>
          <w:b/>
          <w:bCs/>
        </w:rPr>
        <w:t xml:space="preserve"> </w:t>
      </w:r>
    </w:p>
    <w:p w14:paraId="57DE93BB" w14:textId="77777777" w:rsidR="00C01F33" w:rsidRPr="00CE0424" w:rsidRDefault="00C01F33" w:rsidP="006E062C"/>
    <w:p w14:paraId="10D64979" w14:textId="153953F3" w:rsidR="00F507D1" w:rsidRPr="00CE0424" w:rsidRDefault="00F507D1" w:rsidP="00CE0424">
      <w:pPr>
        <w:pStyle w:val="Heading1"/>
      </w:pPr>
      <w:bookmarkStart w:id="27" w:name="_In-sequence_SDU_delivery"/>
      <w:bookmarkEnd w:id="27"/>
      <w:r w:rsidRPr="00CE0424">
        <w:lastRenderedPageBreak/>
        <w:t>References</w:t>
      </w:r>
    </w:p>
    <w:bookmarkStart w:id="28" w:name="_Ref70945771"/>
    <w:bookmarkStart w:id="29" w:name="_Ref174151459"/>
    <w:bookmarkStart w:id="30" w:name="_Ref189809556"/>
    <w:p w14:paraId="07CD66F3" w14:textId="17BF3A75" w:rsidR="005F3025" w:rsidRPr="00CE0424" w:rsidRDefault="001935C7" w:rsidP="00311702">
      <w:pPr>
        <w:pStyle w:val="Reference"/>
      </w:pPr>
      <w:r>
        <w:fldChar w:fldCharType="begin"/>
      </w:r>
      <w:r>
        <w:instrText xml:space="preserve"> HYPERLINK "https://www.3gpp.org/ftp/tsg_ran/TSG_RAN/TSGR_91e/Docs/RP-210918.zip" </w:instrText>
      </w:r>
      <w:r>
        <w:fldChar w:fldCharType="separate"/>
      </w:r>
      <w:r w:rsidR="008274AD" w:rsidRPr="001935C7">
        <w:rPr>
          <w:rStyle w:val="Hyperlink"/>
        </w:rPr>
        <w:t>RP-210918</w:t>
      </w:r>
      <w:r>
        <w:fldChar w:fldCharType="end"/>
      </w:r>
      <w:r w:rsidR="008274AD">
        <w:t xml:space="preserve">, </w:t>
      </w:r>
      <w:r w:rsidR="0067694E">
        <w:t>“</w:t>
      </w:r>
      <w:r w:rsidR="008274AD">
        <w:t>Revised WID on s</w:t>
      </w:r>
      <w:r w:rsidR="008274AD" w:rsidRPr="008274AD">
        <w:t>upport of reduced capability NR devices</w:t>
      </w:r>
      <w:r w:rsidR="0067694E">
        <w:t>”</w:t>
      </w:r>
      <w:r w:rsidR="00BD1C7F">
        <w:t>, RAN#91-e</w:t>
      </w:r>
      <w:bookmarkEnd w:id="28"/>
    </w:p>
    <w:bookmarkStart w:id="31" w:name="_Ref70945783"/>
    <w:p w14:paraId="6DF33065" w14:textId="65B75E1A" w:rsidR="005F3025" w:rsidRDefault="001935C7" w:rsidP="00311702">
      <w:pPr>
        <w:pStyle w:val="Reference"/>
      </w:pPr>
      <w:r>
        <w:fldChar w:fldCharType="begin"/>
      </w:r>
      <w:r w:rsidR="002B0BA8">
        <w:instrText>HYPERLINK "https://www.3gpp.org/ftp/tsg_ran/TSG_RAN/TSGR_93e/Docs/RP-212594.zip"</w:instrText>
      </w:r>
      <w:r>
        <w:fldChar w:fldCharType="separate"/>
      </w:r>
      <w:r w:rsidR="002B0BA8">
        <w:rPr>
          <w:rStyle w:val="Hyperlink"/>
        </w:rPr>
        <w:t>RP-212594</w:t>
      </w:r>
      <w:r>
        <w:fldChar w:fldCharType="end"/>
      </w:r>
      <w:r w:rsidR="008274AD">
        <w:t xml:space="preserve">, </w:t>
      </w:r>
      <w:r w:rsidR="0067694E">
        <w:t>“</w:t>
      </w:r>
      <w:bookmarkEnd w:id="31"/>
      <w:r w:rsidR="002B0BA8">
        <w:t>Revised WID on</w:t>
      </w:r>
      <w:r w:rsidR="002B0BA8" w:rsidRPr="008274AD">
        <w:t xml:space="preserve"> small</w:t>
      </w:r>
      <w:r w:rsidR="002B0BA8">
        <w:t xml:space="preserve"> </w:t>
      </w:r>
      <w:r w:rsidR="002B0BA8" w:rsidRPr="008274AD">
        <w:t>data transmissions in INACTIVE state</w:t>
      </w:r>
      <w:r w:rsidR="002B0BA8">
        <w:t>”,</w:t>
      </w:r>
      <w:r w:rsidR="002B0BA8" w:rsidRPr="00BD1C7F">
        <w:t xml:space="preserve"> </w:t>
      </w:r>
      <w:r w:rsidR="002B0BA8">
        <w:t>RAN#93-e</w:t>
      </w:r>
    </w:p>
    <w:bookmarkStart w:id="32" w:name="_Ref70945792"/>
    <w:bookmarkEnd w:id="29"/>
    <w:bookmarkEnd w:id="30"/>
    <w:p w14:paraId="259494C5" w14:textId="3F9E8BEE" w:rsidR="003A7EF3" w:rsidRDefault="001935C7">
      <w:pPr>
        <w:pStyle w:val="Reference"/>
      </w:pPr>
      <w:r>
        <w:fldChar w:fldCharType="begin"/>
      </w:r>
      <w:r w:rsidR="00413473">
        <w:instrText>HYPERLINK "https://www.3gpp.org/ftp/TSG_RAN/TSG_RAN/TSGR_92e/Docs/RP-211566.zip"</w:instrText>
      </w:r>
      <w:r>
        <w:fldChar w:fldCharType="separate"/>
      </w:r>
      <w:r w:rsidR="00BD1C7F" w:rsidRPr="001935C7">
        <w:rPr>
          <w:rStyle w:val="Hyperlink"/>
        </w:rPr>
        <w:t>RP-21</w:t>
      </w:r>
      <w:r w:rsidR="00F146A1">
        <w:rPr>
          <w:rStyle w:val="Hyperlink"/>
        </w:rPr>
        <w:t>1</w:t>
      </w:r>
      <w:r w:rsidR="00E712B2">
        <w:rPr>
          <w:rStyle w:val="Hyperlink"/>
        </w:rPr>
        <w:t>566</w:t>
      </w:r>
      <w:r>
        <w:fldChar w:fldCharType="end"/>
      </w:r>
      <w:r w:rsidR="00BD1C7F">
        <w:t xml:space="preserve">, </w:t>
      </w:r>
      <w:r w:rsidR="0067694E">
        <w:t>“</w:t>
      </w:r>
      <w:r w:rsidR="00BD1C7F" w:rsidRPr="00BD1C7F">
        <w:t>Revised WID on NR coverage enhancements</w:t>
      </w:r>
      <w:r w:rsidR="0067694E">
        <w:t>”</w:t>
      </w:r>
      <w:r w:rsidR="00BD1C7F">
        <w:t>, RAN#9</w:t>
      </w:r>
      <w:r w:rsidR="00151EA6">
        <w:t>2</w:t>
      </w:r>
      <w:r w:rsidR="00BD1C7F">
        <w:t>-e</w:t>
      </w:r>
      <w:bookmarkEnd w:id="32"/>
    </w:p>
    <w:bookmarkStart w:id="33" w:name="_Ref78900615"/>
    <w:p w14:paraId="0975C67B" w14:textId="46A2446E" w:rsidR="000750AA" w:rsidRPr="00825B39" w:rsidRDefault="003F268F" w:rsidP="00196288">
      <w:pPr>
        <w:pStyle w:val="Reference"/>
      </w:pPr>
      <w:r>
        <w:rPr>
          <w:lang w:val="en-US"/>
        </w:rPr>
        <w:fldChar w:fldCharType="begin"/>
      </w:r>
      <w:r w:rsidR="002B0BA8">
        <w:rPr>
          <w:lang w:val="en-US"/>
        </w:rPr>
        <w:instrText>HYPERLINK "https://www.3gpp.org/ftp/tsg_ran/TSG_RAN/TSGR_93e/Docs/RP-212534.zip"</w:instrText>
      </w:r>
      <w:r>
        <w:rPr>
          <w:lang w:val="en-US"/>
        </w:rPr>
        <w:fldChar w:fldCharType="separate"/>
      </w:r>
      <w:r w:rsidR="002B0BA8">
        <w:rPr>
          <w:rStyle w:val="Hyperlink"/>
          <w:lang w:val="en-US"/>
        </w:rPr>
        <w:t>RP-212534</w:t>
      </w:r>
      <w:r>
        <w:rPr>
          <w:lang w:val="en-US"/>
        </w:rPr>
        <w:fldChar w:fldCharType="end"/>
      </w:r>
      <w:r>
        <w:rPr>
          <w:lang w:val="en-US"/>
        </w:rPr>
        <w:t xml:space="preserve">, </w:t>
      </w:r>
      <w:bookmarkEnd w:id="33"/>
      <w:r w:rsidR="002B0BA8">
        <w:rPr>
          <w:lang w:val="en-US"/>
        </w:rPr>
        <w:t>“Revised WID on enhancement of RAN Slicing for NR”, RAN#93-e</w:t>
      </w:r>
    </w:p>
    <w:sectPr w:rsidR="000750AA" w:rsidRPr="00825B3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C7ADA1" w14:textId="77777777" w:rsidR="00297B40" w:rsidRDefault="00297B40">
      <w:r>
        <w:separator/>
      </w:r>
    </w:p>
  </w:endnote>
  <w:endnote w:type="continuationSeparator" w:id="0">
    <w:p w14:paraId="4F0A5BDC" w14:textId="77777777" w:rsidR="00297B40" w:rsidRDefault="00297B40">
      <w:r>
        <w:continuationSeparator/>
      </w:r>
    </w:p>
  </w:endnote>
  <w:endnote w:type="continuationNotice" w:id="1">
    <w:p w14:paraId="641C485E" w14:textId="77777777" w:rsidR="00297B40" w:rsidRDefault="00297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085D7" w14:textId="77777777" w:rsidR="005A453F" w:rsidRDefault="005A45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A0474E" w14:textId="77777777" w:rsidR="00297B40" w:rsidRDefault="00297B40">
      <w:r>
        <w:separator/>
      </w:r>
    </w:p>
  </w:footnote>
  <w:footnote w:type="continuationSeparator" w:id="0">
    <w:p w14:paraId="4A9489DA" w14:textId="77777777" w:rsidR="00297B40" w:rsidRDefault="00297B40">
      <w:r>
        <w:continuationSeparator/>
      </w:r>
    </w:p>
  </w:footnote>
  <w:footnote w:type="continuationNotice" w:id="1">
    <w:p w14:paraId="28E0E68D" w14:textId="77777777" w:rsidR="00297B40" w:rsidRDefault="00297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F002" w14:textId="77777777" w:rsidR="005A453F" w:rsidRDefault="005A45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E24318"/>
    <w:multiLevelType w:val="hybridMultilevel"/>
    <w:tmpl w:val="7D48B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4B4F56"/>
    <w:multiLevelType w:val="hybridMultilevel"/>
    <w:tmpl w:val="DB421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19769C"/>
    <w:multiLevelType w:val="hybridMultilevel"/>
    <w:tmpl w:val="02E8F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C8704D"/>
    <w:multiLevelType w:val="hybridMultilevel"/>
    <w:tmpl w:val="58C02EB4"/>
    <w:lvl w:ilvl="0" w:tplc="C19C0ED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2A61298"/>
    <w:multiLevelType w:val="hybridMultilevel"/>
    <w:tmpl w:val="05B2EB04"/>
    <w:lvl w:ilvl="0" w:tplc="0809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2"/>
  </w:num>
  <w:num w:numId="7">
    <w:abstractNumId w:val="4"/>
  </w:num>
  <w:num w:numId="8">
    <w:abstractNumId w:val="5"/>
  </w:num>
  <w:num w:numId="9">
    <w:abstractNumId w:val="2"/>
  </w:num>
  <w:num w:numId="10">
    <w:abstractNumId w:val="16"/>
  </w:num>
  <w:num w:numId="11">
    <w:abstractNumId w:val="6"/>
  </w:num>
  <w:num w:numId="12">
    <w:abstractNumId w:val="14"/>
  </w:num>
  <w:num w:numId="13">
    <w:abstractNumId w:val="1"/>
  </w:num>
  <w:num w:numId="14">
    <w:abstractNumId w:val="7"/>
  </w:num>
  <w:num w:numId="15">
    <w:abstractNumId w:val="3"/>
  </w:num>
  <w:num w:numId="16">
    <w:abstractNumId w:val="15"/>
  </w:num>
  <w:num w:numId="17">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35C"/>
    <w:rsid w:val="000006E1"/>
    <w:rsid w:val="00000BB7"/>
    <w:rsid w:val="00002A37"/>
    <w:rsid w:val="00004314"/>
    <w:rsid w:val="0000564C"/>
    <w:rsid w:val="00006446"/>
    <w:rsid w:val="00006896"/>
    <w:rsid w:val="00007CDC"/>
    <w:rsid w:val="00010691"/>
    <w:rsid w:val="00011B28"/>
    <w:rsid w:val="00013344"/>
    <w:rsid w:val="000136C3"/>
    <w:rsid w:val="00013B80"/>
    <w:rsid w:val="000141C3"/>
    <w:rsid w:val="00015806"/>
    <w:rsid w:val="00015D15"/>
    <w:rsid w:val="000176A7"/>
    <w:rsid w:val="00020555"/>
    <w:rsid w:val="00020EAB"/>
    <w:rsid w:val="00020EEE"/>
    <w:rsid w:val="00021E4D"/>
    <w:rsid w:val="00024E4B"/>
    <w:rsid w:val="00024F82"/>
    <w:rsid w:val="0002564D"/>
    <w:rsid w:val="00025ECA"/>
    <w:rsid w:val="00026D1B"/>
    <w:rsid w:val="00030EDC"/>
    <w:rsid w:val="00031AB5"/>
    <w:rsid w:val="000324DB"/>
    <w:rsid w:val="000325B8"/>
    <w:rsid w:val="00032CF5"/>
    <w:rsid w:val="00033000"/>
    <w:rsid w:val="00033D10"/>
    <w:rsid w:val="00034AD3"/>
    <w:rsid w:val="00034C15"/>
    <w:rsid w:val="00036BA1"/>
    <w:rsid w:val="00040699"/>
    <w:rsid w:val="00040BA4"/>
    <w:rsid w:val="000411B2"/>
    <w:rsid w:val="000422E2"/>
    <w:rsid w:val="00042D44"/>
    <w:rsid w:val="00042F22"/>
    <w:rsid w:val="00043918"/>
    <w:rsid w:val="000444EF"/>
    <w:rsid w:val="000476EC"/>
    <w:rsid w:val="000507FA"/>
    <w:rsid w:val="00052A07"/>
    <w:rsid w:val="000534E3"/>
    <w:rsid w:val="0005606A"/>
    <w:rsid w:val="00057117"/>
    <w:rsid w:val="000616E7"/>
    <w:rsid w:val="0006487E"/>
    <w:rsid w:val="00065E1A"/>
    <w:rsid w:val="00065EA1"/>
    <w:rsid w:val="00072C76"/>
    <w:rsid w:val="000750AA"/>
    <w:rsid w:val="000753D1"/>
    <w:rsid w:val="00077E5F"/>
    <w:rsid w:val="0008036A"/>
    <w:rsid w:val="0008060F"/>
    <w:rsid w:val="00081AE6"/>
    <w:rsid w:val="00081C64"/>
    <w:rsid w:val="00082735"/>
    <w:rsid w:val="00083F5F"/>
    <w:rsid w:val="000855EB"/>
    <w:rsid w:val="00085B52"/>
    <w:rsid w:val="00085F3D"/>
    <w:rsid w:val="000866F2"/>
    <w:rsid w:val="0009009F"/>
    <w:rsid w:val="000910B0"/>
    <w:rsid w:val="00091557"/>
    <w:rsid w:val="000924C1"/>
    <w:rsid w:val="000924F0"/>
    <w:rsid w:val="00092CA7"/>
    <w:rsid w:val="00093289"/>
    <w:rsid w:val="00093474"/>
    <w:rsid w:val="00094B96"/>
    <w:rsid w:val="0009510F"/>
    <w:rsid w:val="00095E0C"/>
    <w:rsid w:val="000A0416"/>
    <w:rsid w:val="000A1B7B"/>
    <w:rsid w:val="000A4610"/>
    <w:rsid w:val="000A56F2"/>
    <w:rsid w:val="000A59D4"/>
    <w:rsid w:val="000A74F8"/>
    <w:rsid w:val="000B0101"/>
    <w:rsid w:val="000B2719"/>
    <w:rsid w:val="000B30F0"/>
    <w:rsid w:val="000B354C"/>
    <w:rsid w:val="000B3A8F"/>
    <w:rsid w:val="000B4AB9"/>
    <w:rsid w:val="000B58C3"/>
    <w:rsid w:val="000B61E9"/>
    <w:rsid w:val="000B644F"/>
    <w:rsid w:val="000B67D7"/>
    <w:rsid w:val="000C165A"/>
    <w:rsid w:val="000C1BC5"/>
    <w:rsid w:val="000C283D"/>
    <w:rsid w:val="000C2883"/>
    <w:rsid w:val="000C2E19"/>
    <w:rsid w:val="000C37EC"/>
    <w:rsid w:val="000C5F43"/>
    <w:rsid w:val="000D0D07"/>
    <w:rsid w:val="000D10E2"/>
    <w:rsid w:val="000D45D5"/>
    <w:rsid w:val="000D4797"/>
    <w:rsid w:val="000D70EB"/>
    <w:rsid w:val="000E0024"/>
    <w:rsid w:val="000E0527"/>
    <w:rsid w:val="000E0CE2"/>
    <w:rsid w:val="000E1C7C"/>
    <w:rsid w:val="000E1E92"/>
    <w:rsid w:val="000E7864"/>
    <w:rsid w:val="000F06D6"/>
    <w:rsid w:val="000F0EB1"/>
    <w:rsid w:val="000F1096"/>
    <w:rsid w:val="000F1106"/>
    <w:rsid w:val="000F3BE9"/>
    <w:rsid w:val="000F3F6C"/>
    <w:rsid w:val="000F503C"/>
    <w:rsid w:val="000F51BA"/>
    <w:rsid w:val="000F6DF3"/>
    <w:rsid w:val="000F7C2D"/>
    <w:rsid w:val="00100544"/>
    <w:rsid w:val="001005FF"/>
    <w:rsid w:val="00105D76"/>
    <w:rsid w:val="0010620F"/>
    <w:rsid w:val="001062FB"/>
    <w:rsid w:val="001063E6"/>
    <w:rsid w:val="001110BF"/>
    <w:rsid w:val="00113CF4"/>
    <w:rsid w:val="001153EA"/>
    <w:rsid w:val="00115643"/>
    <w:rsid w:val="00115DEC"/>
    <w:rsid w:val="00116765"/>
    <w:rsid w:val="001219F5"/>
    <w:rsid w:val="00121A20"/>
    <w:rsid w:val="00122287"/>
    <w:rsid w:val="0012377F"/>
    <w:rsid w:val="00124314"/>
    <w:rsid w:val="00126B4A"/>
    <w:rsid w:val="001324E1"/>
    <w:rsid w:val="00132FD0"/>
    <w:rsid w:val="001344C0"/>
    <w:rsid w:val="001346FA"/>
    <w:rsid w:val="00135252"/>
    <w:rsid w:val="00137AB5"/>
    <w:rsid w:val="00137D88"/>
    <w:rsid w:val="00137F0B"/>
    <w:rsid w:val="00141B62"/>
    <w:rsid w:val="00142160"/>
    <w:rsid w:val="00144909"/>
    <w:rsid w:val="00146E26"/>
    <w:rsid w:val="00150C70"/>
    <w:rsid w:val="00151B90"/>
    <w:rsid w:val="00151E23"/>
    <w:rsid w:val="00151EA6"/>
    <w:rsid w:val="001526E0"/>
    <w:rsid w:val="0015364D"/>
    <w:rsid w:val="001551B5"/>
    <w:rsid w:val="00157B20"/>
    <w:rsid w:val="001659C1"/>
    <w:rsid w:val="001674B5"/>
    <w:rsid w:val="00167D4E"/>
    <w:rsid w:val="001700CE"/>
    <w:rsid w:val="001705D3"/>
    <w:rsid w:val="001719B9"/>
    <w:rsid w:val="00173A8E"/>
    <w:rsid w:val="0017502C"/>
    <w:rsid w:val="0018143F"/>
    <w:rsid w:val="00181FF8"/>
    <w:rsid w:val="001826C5"/>
    <w:rsid w:val="001828F0"/>
    <w:rsid w:val="00184089"/>
    <w:rsid w:val="00186D71"/>
    <w:rsid w:val="00186DAE"/>
    <w:rsid w:val="00190AC1"/>
    <w:rsid w:val="0019284A"/>
    <w:rsid w:val="0019290A"/>
    <w:rsid w:val="0019341A"/>
    <w:rsid w:val="001935C7"/>
    <w:rsid w:val="00194602"/>
    <w:rsid w:val="0019481A"/>
    <w:rsid w:val="00195FA9"/>
    <w:rsid w:val="00196094"/>
    <w:rsid w:val="00196288"/>
    <w:rsid w:val="0019693E"/>
    <w:rsid w:val="00197DF9"/>
    <w:rsid w:val="001A1987"/>
    <w:rsid w:val="001A2564"/>
    <w:rsid w:val="001A2C91"/>
    <w:rsid w:val="001A6173"/>
    <w:rsid w:val="001A6CBA"/>
    <w:rsid w:val="001B0130"/>
    <w:rsid w:val="001B0D97"/>
    <w:rsid w:val="001B161C"/>
    <w:rsid w:val="001B399C"/>
    <w:rsid w:val="001B5A5D"/>
    <w:rsid w:val="001B5C08"/>
    <w:rsid w:val="001B6CA6"/>
    <w:rsid w:val="001C1CE5"/>
    <w:rsid w:val="001C3D2A"/>
    <w:rsid w:val="001D3E3A"/>
    <w:rsid w:val="001D3F53"/>
    <w:rsid w:val="001D51BA"/>
    <w:rsid w:val="001D53E7"/>
    <w:rsid w:val="001D5D52"/>
    <w:rsid w:val="001D6342"/>
    <w:rsid w:val="001D6D53"/>
    <w:rsid w:val="001D7235"/>
    <w:rsid w:val="001E58E2"/>
    <w:rsid w:val="001E5DDD"/>
    <w:rsid w:val="001E5FBE"/>
    <w:rsid w:val="001E63D9"/>
    <w:rsid w:val="001E6E98"/>
    <w:rsid w:val="001E7AED"/>
    <w:rsid w:val="001F032E"/>
    <w:rsid w:val="001F3916"/>
    <w:rsid w:val="001F3F15"/>
    <w:rsid w:val="001F436E"/>
    <w:rsid w:val="001F54C5"/>
    <w:rsid w:val="001F662C"/>
    <w:rsid w:val="001F7074"/>
    <w:rsid w:val="00200490"/>
    <w:rsid w:val="002005EE"/>
    <w:rsid w:val="00200D38"/>
    <w:rsid w:val="00201729"/>
    <w:rsid w:val="002018A4"/>
    <w:rsid w:val="00201F3A"/>
    <w:rsid w:val="00202361"/>
    <w:rsid w:val="002031F8"/>
    <w:rsid w:val="00203F96"/>
    <w:rsid w:val="002069B2"/>
    <w:rsid w:val="00207046"/>
    <w:rsid w:val="00207FA3"/>
    <w:rsid w:val="002108BA"/>
    <w:rsid w:val="00214DA8"/>
    <w:rsid w:val="00215423"/>
    <w:rsid w:val="002158FA"/>
    <w:rsid w:val="00215947"/>
    <w:rsid w:val="00220600"/>
    <w:rsid w:val="00220E34"/>
    <w:rsid w:val="002224DB"/>
    <w:rsid w:val="002230B0"/>
    <w:rsid w:val="00223F67"/>
    <w:rsid w:val="00223FCB"/>
    <w:rsid w:val="002252C3"/>
    <w:rsid w:val="00225C54"/>
    <w:rsid w:val="00226760"/>
    <w:rsid w:val="002268E5"/>
    <w:rsid w:val="002270E9"/>
    <w:rsid w:val="00230765"/>
    <w:rsid w:val="00230D18"/>
    <w:rsid w:val="002319E4"/>
    <w:rsid w:val="0023222E"/>
    <w:rsid w:val="00233481"/>
    <w:rsid w:val="00235632"/>
    <w:rsid w:val="00235872"/>
    <w:rsid w:val="002361CD"/>
    <w:rsid w:val="002401E7"/>
    <w:rsid w:val="00240D1D"/>
    <w:rsid w:val="00241559"/>
    <w:rsid w:val="00242F59"/>
    <w:rsid w:val="002435B3"/>
    <w:rsid w:val="002458EB"/>
    <w:rsid w:val="00245E28"/>
    <w:rsid w:val="002500C8"/>
    <w:rsid w:val="00250F27"/>
    <w:rsid w:val="0025299C"/>
    <w:rsid w:val="00253C27"/>
    <w:rsid w:val="0025480F"/>
    <w:rsid w:val="00257543"/>
    <w:rsid w:val="00260365"/>
    <w:rsid w:val="002617E7"/>
    <w:rsid w:val="00264228"/>
    <w:rsid w:val="00264334"/>
    <w:rsid w:val="0026473E"/>
    <w:rsid w:val="00266214"/>
    <w:rsid w:val="00267C83"/>
    <w:rsid w:val="00267E66"/>
    <w:rsid w:val="002708CE"/>
    <w:rsid w:val="0027144F"/>
    <w:rsid w:val="00271460"/>
    <w:rsid w:val="0027174E"/>
    <w:rsid w:val="00271813"/>
    <w:rsid w:val="00271F3A"/>
    <w:rsid w:val="00273278"/>
    <w:rsid w:val="002737F4"/>
    <w:rsid w:val="0027550E"/>
    <w:rsid w:val="002805F5"/>
    <w:rsid w:val="00280751"/>
    <w:rsid w:val="00280EEA"/>
    <w:rsid w:val="0028280A"/>
    <w:rsid w:val="00283C3D"/>
    <w:rsid w:val="0028442B"/>
    <w:rsid w:val="00286ACD"/>
    <w:rsid w:val="00287838"/>
    <w:rsid w:val="002907B5"/>
    <w:rsid w:val="00292EB7"/>
    <w:rsid w:val="0029490D"/>
    <w:rsid w:val="002952C7"/>
    <w:rsid w:val="00295B0D"/>
    <w:rsid w:val="00296227"/>
    <w:rsid w:val="00296F44"/>
    <w:rsid w:val="0029777D"/>
    <w:rsid w:val="00297B40"/>
    <w:rsid w:val="002A055E"/>
    <w:rsid w:val="002A13BB"/>
    <w:rsid w:val="002A1D4E"/>
    <w:rsid w:val="002A25A4"/>
    <w:rsid w:val="002A2869"/>
    <w:rsid w:val="002A349A"/>
    <w:rsid w:val="002A43EF"/>
    <w:rsid w:val="002A48F1"/>
    <w:rsid w:val="002A49F6"/>
    <w:rsid w:val="002A5334"/>
    <w:rsid w:val="002B0BA8"/>
    <w:rsid w:val="002B2428"/>
    <w:rsid w:val="002B24D6"/>
    <w:rsid w:val="002B2EB9"/>
    <w:rsid w:val="002B6E1C"/>
    <w:rsid w:val="002C1903"/>
    <w:rsid w:val="002C1CD6"/>
    <w:rsid w:val="002C41E6"/>
    <w:rsid w:val="002C4501"/>
    <w:rsid w:val="002C5020"/>
    <w:rsid w:val="002C6D9A"/>
    <w:rsid w:val="002C76A9"/>
    <w:rsid w:val="002D071A"/>
    <w:rsid w:val="002D0D3B"/>
    <w:rsid w:val="002D34B2"/>
    <w:rsid w:val="002D48B0"/>
    <w:rsid w:val="002D5B37"/>
    <w:rsid w:val="002D6D9C"/>
    <w:rsid w:val="002D7637"/>
    <w:rsid w:val="002E171D"/>
    <w:rsid w:val="002E17F2"/>
    <w:rsid w:val="002E1C1F"/>
    <w:rsid w:val="002E43FB"/>
    <w:rsid w:val="002E4688"/>
    <w:rsid w:val="002E67DE"/>
    <w:rsid w:val="002E7CAE"/>
    <w:rsid w:val="002E7E77"/>
    <w:rsid w:val="002F0ADF"/>
    <w:rsid w:val="002F20D4"/>
    <w:rsid w:val="002F25D8"/>
    <w:rsid w:val="002F2771"/>
    <w:rsid w:val="002F2FEE"/>
    <w:rsid w:val="002F37A9"/>
    <w:rsid w:val="002F49FB"/>
    <w:rsid w:val="002F4A1B"/>
    <w:rsid w:val="002F5811"/>
    <w:rsid w:val="002F6567"/>
    <w:rsid w:val="002F7313"/>
    <w:rsid w:val="00301CE6"/>
    <w:rsid w:val="00302115"/>
    <w:rsid w:val="0030256B"/>
    <w:rsid w:val="00304C8D"/>
    <w:rsid w:val="0030501F"/>
    <w:rsid w:val="00307BA1"/>
    <w:rsid w:val="00311702"/>
    <w:rsid w:val="00311E82"/>
    <w:rsid w:val="00312A8E"/>
    <w:rsid w:val="00313FD6"/>
    <w:rsid w:val="003143BD"/>
    <w:rsid w:val="00314EA8"/>
    <w:rsid w:val="00315363"/>
    <w:rsid w:val="0031630D"/>
    <w:rsid w:val="003173F4"/>
    <w:rsid w:val="003203ED"/>
    <w:rsid w:val="00322C9F"/>
    <w:rsid w:val="003234BE"/>
    <w:rsid w:val="00324964"/>
    <w:rsid w:val="00324D23"/>
    <w:rsid w:val="00331751"/>
    <w:rsid w:val="00334579"/>
    <w:rsid w:val="00335858"/>
    <w:rsid w:val="00336BDA"/>
    <w:rsid w:val="00342271"/>
    <w:rsid w:val="00342BD7"/>
    <w:rsid w:val="00343ACF"/>
    <w:rsid w:val="00344DB5"/>
    <w:rsid w:val="00346DB5"/>
    <w:rsid w:val="003477B1"/>
    <w:rsid w:val="0035075C"/>
    <w:rsid w:val="00351CC7"/>
    <w:rsid w:val="00355621"/>
    <w:rsid w:val="00355DD2"/>
    <w:rsid w:val="00357380"/>
    <w:rsid w:val="00357548"/>
    <w:rsid w:val="003602D9"/>
    <w:rsid w:val="003604CE"/>
    <w:rsid w:val="00361C10"/>
    <w:rsid w:val="003660EF"/>
    <w:rsid w:val="00370E47"/>
    <w:rsid w:val="00373A8D"/>
    <w:rsid w:val="00373ECD"/>
    <w:rsid w:val="003742AC"/>
    <w:rsid w:val="003752CE"/>
    <w:rsid w:val="00377CE1"/>
    <w:rsid w:val="00380F17"/>
    <w:rsid w:val="0038203C"/>
    <w:rsid w:val="00382699"/>
    <w:rsid w:val="00384233"/>
    <w:rsid w:val="00384DF0"/>
    <w:rsid w:val="00385BF0"/>
    <w:rsid w:val="00391800"/>
    <w:rsid w:val="00392CCA"/>
    <w:rsid w:val="003939FF"/>
    <w:rsid w:val="00394397"/>
    <w:rsid w:val="0039570F"/>
    <w:rsid w:val="00397113"/>
    <w:rsid w:val="003A03F9"/>
    <w:rsid w:val="003A05E5"/>
    <w:rsid w:val="003A0FB6"/>
    <w:rsid w:val="003A1522"/>
    <w:rsid w:val="003A1E0D"/>
    <w:rsid w:val="003A2223"/>
    <w:rsid w:val="003A2A0F"/>
    <w:rsid w:val="003A39A2"/>
    <w:rsid w:val="003A4070"/>
    <w:rsid w:val="003A45A1"/>
    <w:rsid w:val="003A5B0A"/>
    <w:rsid w:val="003A6BAC"/>
    <w:rsid w:val="003A70A4"/>
    <w:rsid w:val="003A7EF3"/>
    <w:rsid w:val="003B01D9"/>
    <w:rsid w:val="003B159C"/>
    <w:rsid w:val="003B369F"/>
    <w:rsid w:val="003B36A3"/>
    <w:rsid w:val="003B4B84"/>
    <w:rsid w:val="003B514B"/>
    <w:rsid w:val="003B64BB"/>
    <w:rsid w:val="003B7FE5"/>
    <w:rsid w:val="003C0960"/>
    <w:rsid w:val="003C11C8"/>
    <w:rsid w:val="003C20E5"/>
    <w:rsid w:val="003C2702"/>
    <w:rsid w:val="003C4B46"/>
    <w:rsid w:val="003C6583"/>
    <w:rsid w:val="003C7806"/>
    <w:rsid w:val="003D109F"/>
    <w:rsid w:val="003D2478"/>
    <w:rsid w:val="003D2891"/>
    <w:rsid w:val="003D3C45"/>
    <w:rsid w:val="003D5388"/>
    <w:rsid w:val="003D5B1F"/>
    <w:rsid w:val="003D60AD"/>
    <w:rsid w:val="003D69E4"/>
    <w:rsid w:val="003D75DB"/>
    <w:rsid w:val="003E15FA"/>
    <w:rsid w:val="003E50E3"/>
    <w:rsid w:val="003E5370"/>
    <w:rsid w:val="003E55E4"/>
    <w:rsid w:val="003E7283"/>
    <w:rsid w:val="003E74E3"/>
    <w:rsid w:val="003F05C7"/>
    <w:rsid w:val="003F07B5"/>
    <w:rsid w:val="003F0E3F"/>
    <w:rsid w:val="003F1954"/>
    <w:rsid w:val="003F268F"/>
    <w:rsid w:val="003F2CD4"/>
    <w:rsid w:val="003F2F26"/>
    <w:rsid w:val="003F606F"/>
    <w:rsid w:val="003F6BBE"/>
    <w:rsid w:val="003F7828"/>
    <w:rsid w:val="003F7B72"/>
    <w:rsid w:val="004000E8"/>
    <w:rsid w:val="0040072F"/>
    <w:rsid w:val="00400F74"/>
    <w:rsid w:val="00401A43"/>
    <w:rsid w:val="0040241D"/>
    <w:rsid w:val="00402E2B"/>
    <w:rsid w:val="00403020"/>
    <w:rsid w:val="0040512B"/>
    <w:rsid w:val="00405CA5"/>
    <w:rsid w:val="00407CD3"/>
    <w:rsid w:val="00410134"/>
    <w:rsid w:val="0041033A"/>
    <w:rsid w:val="00410B72"/>
    <w:rsid w:val="00410F18"/>
    <w:rsid w:val="0041263E"/>
    <w:rsid w:val="00413473"/>
    <w:rsid w:val="00413AAC"/>
    <w:rsid w:val="00413E92"/>
    <w:rsid w:val="00414511"/>
    <w:rsid w:val="00414D8F"/>
    <w:rsid w:val="00415865"/>
    <w:rsid w:val="00415D7B"/>
    <w:rsid w:val="004161AE"/>
    <w:rsid w:val="00416B13"/>
    <w:rsid w:val="00416B94"/>
    <w:rsid w:val="00417D65"/>
    <w:rsid w:val="00421105"/>
    <w:rsid w:val="00422AA4"/>
    <w:rsid w:val="004242F4"/>
    <w:rsid w:val="0042437F"/>
    <w:rsid w:val="004245CD"/>
    <w:rsid w:val="00427248"/>
    <w:rsid w:val="004302B0"/>
    <w:rsid w:val="00432A42"/>
    <w:rsid w:val="00432C8F"/>
    <w:rsid w:val="00434CE9"/>
    <w:rsid w:val="00435257"/>
    <w:rsid w:val="00436AE8"/>
    <w:rsid w:val="00437447"/>
    <w:rsid w:val="00441A92"/>
    <w:rsid w:val="00441FB8"/>
    <w:rsid w:val="004431DC"/>
    <w:rsid w:val="004436E1"/>
    <w:rsid w:val="00444494"/>
    <w:rsid w:val="00444BB1"/>
    <w:rsid w:val="00444F56"/>
    <w:rsid w:val="00444FD0"/>
    <w:rsid w:val="00446488"/>
    <w:rsid w:val="004465AC"/>
    <w:rsid w:val="004469DC"/>
    <w:rsid w:val="00446D50"/>
    <w:rsid w:val="00447BE7"/>
    <w:rsid w:val="00451292"/>
    <w:rsid w:val="004517AA"/>
    <w:rsid w:val="00451B35"/>
    <w:rsid w:val="0045218C"/>
    <w:rsid w:val="00452CAC"/>
    <w:rsid w:val="00456306"/>
    <w:rsid w:val="00457565"/>
    <w:rsid w:val="00457B71"/>
    <w:rsid w:val="00461326"/>
    <w:rsid w:val="00463E92"/>
    <w:rsid w:val="00464857"/>
    <w:rsid w:val="004660A6"/>
    <w:rsid w:val="004669E2"/>
    <w:rsid w:val="00470C31"/>
    <w:rsid w:val="00470D76"/>
    <w:rsid w:val="00471DE0"/>
    <w:rsid w:val="00472BBF"/>
    <w:rsid w:val="004734D0"/>
    <w:rsid w:val="00474A58"/>
    <w:rsid w:val="0047556B"/>
    <w:rsid w:val="0047709D"/>
    <w:rsid w:val="00477768"/>
    <w:rsid w:val="00483341"/>
    <w:rsid w:val="004847B1"/>
    <w:rsid w:val="00486749"/>
    <w:rsid w:val="00486B87"/>
    <w:rsid w:val="00486FDB"/>
    <w:rsid w:val="0048705F"/>
    <w:rsid w:val="00487D1C"/>
    <w:rsid w:val="00490468"/>
    <w:rsid w:val="00491CFF"/>
    <w:rsid w:val="00491DEB"/>
    <w:rsid w:val="00492BC5"/>
    <w:rsid w:val="004954E1"/>
    <w:rsid w:val="004964F1"/>
    <w:rsid w:val="004975DE"/>
    <w:rsid w:val="004A06E4"/>
    <w:rsid w:val="004A0DD9"/>
    <w:rsid w:val="004A0F83"/>
    <w:rsid w:val="004A16BC"/>
    <w:rsid w:val="004A2802"/>
    <w:rsid w:val="004A2B94"/>
    <w:rsid w:val="004A5E3D"/>
    <w:rsid w:val="004B0C13"/>
    <w:rsid w:val="004B524E"/>
    <w:rsid w:val="004B6F6A"/>
    <w:rsid w:val="004B7C0C"/>
    <w:rsid w:val="004C14BA"/>
    <w:rsid w:val="004C353D"/>
    <w:rsid w:val="004C3898"/>
    <w:rsid w:val="004C4D4E"/>
    <w:rsid w:val="004C52CC"/>
    <w:rsid w:val="004C5EEF"/>
    <w:rsid w:val="004C6E21"/>
    <w:rsid w:val="004D1C5A"/>
    <w:rsid w:val="004D2D23"/>
    <w:rsid w:val="004D36B1"/>
    <w:rsid w:val="004D37A3"/>
    <w:rsid w:val="004D6D55"/>
    <w:rsid w:val="004D7EBD"/>
    <w:rsid w:val="004E1548"/>
    <w:rsid w:val="004E1794"/>
    <w:rsid w:val="004E2680"/>
    <w:rsid w:val="004E28F9"/>
    <w:rsid w:val="004E4358"/>
    <w:rsid w:val="004E462E"/>
    <w:rsid w:val="004E56DC"/>
    <w:rsid w:val="004E76F4"/>
    <w:rsid w:val="004E7D84"/>
    <w:rsid w:val="004E7DF1"/>
    <w:rsid w:val="004F072E"/>
    <w:rsid w:val="004F0B4E"/>
    <w:rsid w:val="004F0B6C"/>
    <w:rsid w:val="004F1393"/>
    <w:rsid w:val="004F2078"/>
    <w:rsid w:val="004F2D25"/>
    <w:rsid w:val="004F4DA3"/>
    <w:rsid w:val="004F52A8"/>
    <w:rsid w:val="004F6CE5"/>
    <w:rsid w:val="004F7231"/>
    <w:rsid w:val="00503951"/>
    <w:rsid w:val="00503C6E"/>
    <w:rsid w:val="00504268"/>
    <w:rsid w:val="00504663"/>
    <w:rsid w:val="0050544C"/>
    <w:rsid w:val="00506557"/>
    <w:rsid w:val="0050677A"/>
    <w:rsid w:val="005108D8"/>
    <w:rsid w:val="005116F9"/>
    <w:rsid w:val="005153A7"/>
    <w:rsid w:val="00515569"/>
    <w:rsid w:val="005206F7"/>
    <w:rsid w:val="0052099B"/>
    <w:rsid w:val="005219CF"/>
    <w:rsid w:val="00524347"/>
    <w:rsid w:val="005313E0"/>
    <w:rsid w:val="00534B59"/>
    <w:rsid w:val="00535FFA"/>
    <w:rsid w:val="00536759"/>
    <w:rsid w:val="00536C4F"/>
    <w:rsid w:val="00536E6A"/>
    <w:rsid w:val="00537C62"/>
    <w:rsid w:val="00545B64"/>
    <w:rsid w:val="00546970"/>
    <w:rsid w:val="005469B2"/>
    <w:rsid w:val="005470F9"/>
    <w:rsid w:val="00547A88"/>
    <w:rsid w:val="00547C31"/>
    <w:rsid w:val="00551713"/>
    <w:rsid w:val="0055436D"/>
    <w:rsid w:val="00554E19"/>
    <w:rsid w:val="005557CF"/>
    <w:rsid w:val="0055612F"/>
    <w:rsid w:val="00557FA5"/>
    <w:rsid w:val="0056121F"/>
    <w:rsid w:val="005623E0"/>
    <w:rsid w:val="00565D55"/>
    <w:rsid w:val="00567FD8"/>
    <w:rsid w:val="00570C13"/>
    <w:rsid w:val="0057112B"/>
    <w:rsid w:val="00572505"/>
    <w:rsid w:val="005734EC"/>
    <w:rsid w:val="0057451E"/>
    <w:rsid w:val="005750F5"/>
    <w:rsid w:val="0057513D"/>
    <w:rsid w:val="00577C33"/>
    <w:rsid w:val="00581577"/>
    <w:rsid w:val="00582809"/>
    <w:rsid w:val="00583555"/>
    <w:rsid w:val="0058798C"/>
    <w:rsid w:val="005900FA"/>
    <w:rsid w:val="0059099A"/>
    <w:rsid w:val="00591538"/>
    <w:rsid w:val="005935A4"/>
    <w:rsid w:val="005948C2"/>
    <w:rsid w:val="00595DCA"/>
    <w:rsid w:val="0059779B"/>
    <w:rsid w:val="005A1EAA"/>
    <w:rsid w:val="005A209A"/>
    <w:rsid w:val="005A3A8D"/>
    <w:rsid w:val="005A453F"/>
    <w:rsid w:val="005A662D"/>
    <w:rsid w:val="005A66D4"/>
    <w:rsid w:val="005B1409"/>
    <w:rsid w:val="005B240B"/>
    <w:rsid w:val="005B338A"/>
    <w:rsid w:val="005B35D7"/>
    <w:rsid w:val="005B379F"/>
    <w:rsid w:val="005B37F9"/>
    <w:rsid w:val="005B392A"/>
    <w:rsid w:val="005B3AA3"/>
    <w:rsid w:val="005B40DC"/>
    <w:rsid w:val="005B4EEE"/>
    <w:rsid w:val="005B6F83"/>
    <w:rsid w:val="005B79CB"/>
    <w:rsid w:val="005B7AC6"/>
    <w:rsid w:val="005C3B14"/>
    <w:rsid w:val="005C5DF7"/>
    <w:rsid w:val="005C74FB"/>
    <w:rsid w:val="005C784D"/>
    <w:rsid w:val="005D1602"/>
    <w:rsid w:val="005D2E30"/>
    <w:rsid w:val="005D402C"/>
    <w:rsid w:val="005D5CAD"/>
    <w:rsid w:val="005D6B8C"/>
    <w:rsid w:val="005E1709"/>
    <w:rsid w:val="005E385F"/>
    <w:rsid w:val="005E5B81"/>
    <w:rsid w:val="005F1DC7"/>
    <w:rsid w:val="005F26ED"/>
    <w:rsid w:val="005F2CB1"/>
    <w:rsid w:val="005F3025"/>
    <w:rsid w:val="005F350D"/>
    <w:rsid w:val="005F5BBA"/>
    <w:rsid w:val="005F618C"/>
    <w:rsid w:val="005F6B5E"/>
    <w:rsid w:val="005F6D65"/>
    <w:rsid w:val="005F70BD"/>
    <w:rsid w:val="005F797A"/>
    <w:rsid w:val="0060283C"/>
    <w:rsid w:val="006031A0"/>
    <w:rsid w:val="00603AFE"/>
    <w:rsid w:val="00604F14"/>
    <w:rsid w:val="0060563B"/>
    <w:rsid w:val="00606A21"/>
    <w:rsid w:val="00611B83"/>
    <w:rsid w:val="00612CD3"/>
    <w:rsid w:val="00613257"/>
    <w:rsid w:val="00613F3C"/>
    <w:rsid w:val="00614F9E"/>
    <w:rsid w:val="00620A71"/>
    <w:rsid w:val="00620D80"/>
    <w:rsid w:val="006234A6"/>
    <w:rsid w:val="00625093"/>
    <w:rsid w:val="006255FD"/>
    <w:rsid w:val="00626234"/>
    <w:rsid w:val="006265BD"/>
    <w:rsid w:val="00626B57"/>
    <w:rsid w:val="00630001"/>
    <w:rsid w:val="0063048F"/>
    <w:rsid w:val="00630CF2"/>
    <w:rsid w:val="006311B3"/>
    <w:rsid w:val="00631623"/>
    <w:rsid w:val="0063193C"/>
    <w:rsid w:val="0063284C"/>
    <w:rsid w:val="0063452E"/>
    <w:rsid w:val="00634B35"/>
    <w:rsid w:val="00636398"/>
    <w:rsid w:val="006365BD"/>
    <w:rsid w:val="006368D3"/>
    <w:rsid w:val="006377EC"/>
    <w:rsid w:val="00640856"/>
    <w:rsid w:val="00640ED8"/>
    <w:rsid w:val="0064149B"/>
    <w:rsid w:val="0064151F"/>
    <w:rsid w:val="00641533"/>
    <w:rsid w:val="0064208D"/>
    <w:rsid w:val="006428D6"/>
    <w:rsid w:val="00643475"/>
    <w:rsid w:val="0064396A"/>
    <w:rsid w:val="006450FE"/>
    <w:rsid w:val="00645160"/>
    <w:rsid w:val="00645F26"/>
    <w:rsid w:val="0064624E"/>
    <w:rsid w:val="00646D32"/>
    <w:rsid w:val="00650AB9"/>
    <w:rsid w:val="006523E6"/>
    <w:rsid w:val="006535B7"/>
    <w:rsid w:val="00655733"/>
    <w:rsid w:val="00655ACD"/>
    <w:rsid w:val="00655B9E"/>
    <w:rsid w:val="00655D3E"/>
    <w:rsid w:val="00655E22"/>
    <w:rsid w:val="00655FE8"/>
    <w:rsid w:val="0065624C"/>
    <w:rsid w:val="00656A92"/>
    <w:rsid w:val="00656DDE"/>
    <w:rsid w:val="00656FD6"/>
    <w:rsid w:val="00657837"/>
    <w:rsid w:val="0066011D"/>
    <w:rsid w:val="006607C0"/>
    <w:rsid w:val="006613A6"/>
    <w:rsid w:val="006627A2"/>
    <w:rsid w:val="006634E6"/>
    <w:rsid w:val="00663CC9"/>
    <w:rsid w:val="006655EE"/>
    <w:rsid w:val="0066663A"/>
    <w:rsid w:val="006668F2"/>
    <w:rsid w:val="00667EE7"/>
    <w:rsid w:val="0067008A"/>
    <w:rsid w:val="00670922"/>
    <w:rsid w:val="00670BE1"/>
    <w:rsid w:val="0067218F"/>
    <w:rsid w:val="0067221C"/>
    <w:rsid w:val="00673086"/>
    <w:rsid w:val="0067391A"/>
    <w:rsid w:val="00673AEA"/>
    <w:rsid w:val="006741F2"/>
    <w:rsid w:val="00674CC3"/>
    <w:rsid w:val="00675C72"/>
    <w:rsid w:val="006761CE"/>
    <w:rsid w:val="0067694E"/>
    <w:rsid w:val="00677011"/>
    <w:rsid w:val="006771F9"/>
    <w:rsid w:val="006776D7"/>
    <w:rsid w:val="00677A18"/>
    <w:rsid w:val="00681003"/>
    <w:rsid w:val="006817C9"/>
    <w:rsid w:val="00681B6D"/>
    <w:rsid w:val="00682C28"/>
    <w:rsid w:val="00683839"/>
    <w:rsid w:val="00683ECE"/>
    <w:rsid w:val="00684136"/>
    <w:rsid w:val="00685370"/>
    <w:rsid w:val="00686109"/>
    <w:rsid w:val="00686742"/>
    <w:rsid w:val="0069171F"/>
    <w:rsid w:val="00695FAB"/>
    <w:rsid w:val="00695FC2"/>
    <w:rsid w:val="00696949"/>
    <w:rsid w:val="00697052"/>
    <w:rsid w:val="006A00E3"/>
    <w:rsid w:val="006A0DF7"/>
    <w:rsid w:val="006A1B19"/>
    <w:rsid w:val="006A21A5"/>
    <w:rsid w:val="006A46FB"/>
    <w:rsid w:val="006A4DF3"/>
    <w:rsid w:val="006A5E28"/>
    <w:rsid w:val="006A697B"/>
    <w:rsid w:val="006A70F7"/>
    <w:rsid w:val="006A7AFF"/>
    <w:rsid w:val="006B1816"/>
    <w:rsid w:val="006B2099"/>
    <w:rsid w:val="006B2625"/>
    <w:rsid w:val="006B50CF"/>
    <w:rsid w:val="006B7089"/>
    <w:rsid w:val="006C03B8"/>
    <w:rsid w:val="006C0D73"/>
    <w:rsid w:val="006C0FB0"/>
    <w:rsid w:val="006C45DE"/>
    <w:rsid w:val="006C5EC9"/>
    <w:rsid w:val="006C6059"/>
    <w:rsid w:val="006C7522"/>
    <w:rsid w:val="006D1768"/>
    <w:rsid w:val="006D6F08"/>
    <w:rsid w:val="006E062C"/>
    <w:rsid w:val="006E1133"/>
    <w:rsid w:val="006E1C82"/>
    <w:rsid w:val="006E26B0"/>
    <w:rsid w:val="006E28B7"/>
    <w:rsid w:val="006E2A9B"/>
    <w:rsid w:val="006E3310"/>
    <w:rsid w:val="006E47B4"/>
    <w:rsid w:val="006E4E39"/>
    <w:rsid w:val="006E4E53"/>
    <w:rsid w:val="006E5555"/>
    <w:rsid w:val="006E565E"/>
    <w:rsid w:val="006E673D"/>
    <w:rsid w:val="006E6983"/>
    <w:rsid w:val="006E7D3B"/>
    <w:rsid w:val="006F1B70"/>
    <w:rsid w:val="006F341D"/>
    <w:rsid w:val="006F38FD"/>
    <w:rsid w:val="006F39E1"/>
    <w:rsid w:val="006F3CDE"/>
    <w:rsid w:val="006F3E34"/>
    <w:rsid w:val="006F3E38"/>
    <w:rsid w:val="006F4194"/>
    <w:rsid w:val="006F4B6F"/>
    <w:rsid w:val="006F58D4"/>
    <w:rsid w:val="006F6582"/>
    <w:rsid w:val="0070346E"/>
    <w:rsid w:val="00704EDB"/>
    <w:rsid w:val="00705F57"/>
    <w:rsid w:val="00706101"/>
    <w:rsid w:val="00706265"/>
    <w:rsid w:val="007065B1"/>
    <w:rsid w:val="00707072"/>
    <w:rsid w:val="00707D61"/>
    <w:rsid w:val="0071006E"/>
    <w:rsid w:val="00712287"/>
    <w:rsid w:val="00712772"/>
    <w:rsid w:val="007148A9"/>
    <w:rsid w:val="007148D3"/>
    <w:rsid w:val="007155B1"/>
    <w:rsid w:val="00715B9A"/>
    <w:rsid w:val="00715FE4"/>
    <w:rsid w:val="00716297"/>
    <w:rsid w:val="00717009"/>
    <w:rsid w:val="00720B6F"/>
    <w:rsid w:val="0072183A"/>
    <w:rsid w:val="00722637"/>
    <w:rsid w:val="007257D0"/>
    <w:rsid w:val="00726A32"/>
    <w:rsid w:val="00726DEA"/>
    <w:rsid w:val="00726EA6"/>
    <w:rsid w:val="00727208"/>
    <w:rsid w:val="00727680"/>
    <w:rsid w:val="00727721"/>
    <w:rsid w:val="0073001C"/>
    <w:rsid w:val="00730D3D"/>
    <w:rsid w:val="00732A9F"/>
    <w:rsid w:val="007348B1"/>
    <w:rsid w:val="007362A6"/>
    <w:rsid w:val="00736D7D"/>
    <w:rsid w:val="00736E07"/>
    <w:rsid w:val="007400B0"/>
    <w:rsid w:val="00740E58"/>
    <w:rsid w:val="007445A0"/>
    <w:rsid w:val="0074524B"/>
    <w:rsid w:val="00747D8B"/>
    <w:rsid w:val="00747F95"/>
    <w:rsid w:val="007511A0"/>
    <w:rsid w:val="00751228"/>
    <w:rsid w:val="007520A7"/>
    <w:rsid w:val="00752473"/>
    <w:rsid w:val="007525F8"/>
    <w:rsid w:val="00752EC1"/>
    <w:rsid w:val="00755195"/>
    <w:rsid w:val="00755289"/>
    <w:rsid w:val="007571E1"/>
    <w:rsid w:val="00757A16"/>
    <w:rsid w:val="007604B2"/>
    <w:rsid w:val="00765281"/>
    <w:rsid w:val="00765C98"/>
    <w:rsid w:val="00766BAD"/>
    <w:rsid w:val="00767E82"/>
    <w:rsid w:val="007729A2"/>
    <w:rsid w:val="007743D0"/>
    <w:rsid w:val="007755F2"/>
    <w:rsid w:val="00776013"/>
    <w:rsid w:val="00776971"/>
    <w:rsid w:val="00776989"/>
    <w:rsid w:val="00780A80"/>
    <w:rsid w:val="0078177E"/>
    <w:rsid w:val="0078304C"/>
    <w:rsid w:val="00783673"/>
    <w:rsid w:val="007845D2"/>
    <w:rsid w:val="00785285"/>
    <w:rsid w:val="00785490"/>
    <w:rsid w:val="00786280"/>
    <w:rsid w:val="00786385"/>
    <w:rsid w:val="00787ADB"/>
    <w:rsid w:val="0079055C"/>
    <w:rsid w:val="00791415"/>
    <w:rsid w:val="007925EA"/>
    <w:rsid w:val="00793CD8"/>
    <w:rsid w:val="00794F18"/>
    <w:rsid w:val="00795C92"/>
    <w:rsid w:val="00796231"/>
    <w:rsid w:val="007A1CB3"/>
    <w:rsid w:val="007A306F"/>
    <w:rsid w:val="007A43A6"/>
    <w:rsid w:val="007A58A6"/>
    <w:rsid w:val="007A68E3"/>
    <w:rsid w:val="007B04E5"/>
    <w:rsid w:val="007B3D2D"/>
    <w:rsid w:val="007B41D6"/>
    <w:rsid w:val="007B50AE"/>
    <w:rsid w:val="007B51DF"/>
    <w:rsid w:val="007B6993"/>
    <w:rsid w:val="007C0068"/>
    <w:rsid w:val="007C05DD"/>
    <w:rsid w:val="007C15B2"/>
    <w:rsid w:val="007C3D18"/>
    <w:rsid w:val="007C44B5"/>
    <w:rsid w:val="007C5B42"/>
    <w:rsid w:val="007C60BF"/>
    <w:rsid w:val="007C6A07"/>
    <w:rsid w:val="007C6B0A"/>
    <w:rsid w:val="007C75A1"/>
    <w:rsid w:val="007C77A5"/>
    <w:rsid w:val="007D008A"/>
    <w:rsid w:val="007D04E5"/>
    <w:rsid w:val="007D3FE5"/>
    <w:rsid w:val="007D5901"/>
    <w:rsid w:val="007D7526"/>
    <w:rsid w:val="007E05F8"/>
    <w:rsid w:val="007E1825"/>
    <w:rsid w:val="007E3592"/>
    <w:rsid w:val="007E4610"/>
    <w:rsid w:val="007E4715"/>
    <w:rsid w:val="007E505B"/>
    <w:rsid w:val="007E7091"/>
    <w:rsid w:val="007F04B6"/>
    <w:rsid w:val="007F18D6"/>
    <w:rsid w:val="007F20CD"/>
    <w:rsid w:val="007F22F7"/>
    <w:rsid w:val="007F4082"/>
    <w:rsid w:val="007F4912"/>
    <w:rsid w:val="007F61E1"/>
    <w:rsid w:val="007F69F6"/>
    <w:rsid w:val="00803328"/>
    <w:rsid w:val="00803FAE"/>
    <w:rsid w:val="0080605F"/>
    <w:rsid w:val="00807786"/>
    <w:rsid w:val="0081033A"/>
    <w:rsid w:val="00811FCB"/>
    <w:rsid w:val="00813E56"/>
    <w:rsid w:val="008158D6"/>
    <w:rsid w:val="00817010"/>
    <w:rsid w:val="00817196"/>
    <w:rsid w:val="008235DB"/>
    <w:rsid w:val="00824AB4"/>
    <w:rsid w:val="00825B39"/>
    <w:rsid w:val="00825C42"/>
    <w:rsid w:val="00825D25"/>
    <w:rsid w:val="008274AD"/>
    <w:rsid w:val="00827D6F"/>
    <w:rsid w:val="00831179"/>
    <w:rsid w:val="00831C3C"/>
    <w:rsid w:val="00833A7C"/>
    <w:rsid w:val="008348DC"/>
    <w:rsid w:val="00834ED2"/>
    <w:rsid w:val="00835946"/>
    <w:rsid w:val="008362F2"/>
    <w:rsid w:val="00836392"/>
    <w:rsid w:val="008376AC"/>
    <w:rsid w:val="00841E92"/>
    <w:rsid w:val="00842492"/>
    <w:rsid w:val="00843240"/>
    <w:rsid w:val="008444E8"/>
    <w:rsid w:val="00844E80"/>
    <w:rsid w:val="008465FB"/>
    <w:rsid w:val="00846FE7"/>
    <w:rsid w:val="0085257C"/>
    <w:rsid w:val="00853019"/>
    <w:rsid w:val="0085456C"/>
    <w:rsid w:val="00856911"/>
    <w:rsid w:val="00857132"/>
    <w:rsid w:val="00857C26"/>
    <w:rsid w:val="0086230E"/>
    <w:rsid w:val="00862537"/>
    <w:rsid w:val="00864B05"/>
    <w:rsid w:val="0086565E"/>
    <w:rsid w:val="0086639B"/>
    <w:rsid w:val="00866760"/>
    <w:rsid w:val="008677FD"/>
    <w:rsid w:val="00867CC7"/>
    <w:rsid w:val="008706D4"/>
    <w:rsid w:val="00870F8A"/>
    <w:rsid w:val="008719A4"/>
    <w:rsid w:val="00871D23"/>
    <w:rsid w:val="00874312"/>
    <w:rsid w:val="0087437C"/>
    <w:rsid w:val="00875CD7"/>
    <w:rsid w:val="00876B4D"/>
    <w:rsid w:val="00876BB8"/>
    <w:rsid w:val="00877F18"/>
    <w:rsid w:val="00883CA8"/>
    <w:rsid w:val="00885507"/>
    <w:rsid w:val="00892759"/>
    <w:rsid w:val="008941E3"/>
    <w:rsid w:val="00894A88"/>
    <w:rsid w:val="00895386"/>
    <w:rsid w:val="008976E8"/>
    <w:rsid w:val="008A001C"/>
    <w:rsid w:val="008A21FF"/>
    <w:rsid w:val="008A2CE2"/>
    <w:rsid w:val="008A30AC"/>
    <w:rsid w:val="008A44B8"/>
    <w:rsid w:val="008A51A8"/>
    <w:rsid w:val="008A54C7"/>
    <w:rsid w:val="008A74E4"/>
    <w:rsid w:val="008A77D8"/>
    <w:rsid w:val="008B0483"/>
    <w:rsid w:val="008B120C"/>
    <w:rsid w:val="008B3EA5"/>
    <w:rsid w:val="008B4074"/>
    <w:rsid w:val="008B465F"/>
    <w:rsid w:val="008B51A0"/>
    <w:rsid w:val="008B592A"/>
    <w:rsid w:val="008B76F8"/>
    <w:rsid w:val="008B7B5C"/>
    <w:rsid w:val="008C0C99"/>
    <w:rsid w:val="008C2017"/>
    <w:rsid w:val="008C4958"/>
    <w:rsid w:val="008C4BAA"/>
    <w:rsid w:val="008C5B40"/>
    <w:rsid w:val="008C6AE8"/>
    <w:rsid w:val="008C7573"/>
    <w:rsid w:val="008D00A5"/>
    <w:rsid w:val="008D0E3B"/>
    <w:rsid w:val="008D1C03"/>
    <w:rsid w:val="008D3427"/>
    <w:rsid w:val="008D34F1"/>
    <w:rsid w:val="008D39D8"/>
    <w:rsid w:val="008D66CE"/>
    <w:rsid w:val="008D6D1A"/>
    <w:rsid w:val="008D7BD5"/>
    <w:rsid w:val="008E0351"/>
    <w:rsid w:val="008E065E"/>
    <w:rsid w:val="008E0927"/>
    <w:rsid w:val="008E1909"/>
    <w:rsid w:val="008E1EA7"/>
    <w:rsid w:val="008E3D0B"/>
    <w:rsid w:val="008E58ED"/>
    <w:rsid w:val="008E6592"/>
    <w:rsid w:val="008F1EAB"/>
    <w:rsid w:val="008F20D3"/>
    <w:rsid w:val="008F33DC"/>
    <w:rsid w:val="008F477F"/>
    <w:rsid w:val="008F50A4"/>
    <w:rsid w:val="008F743D"/>
    <w:rsid w:val="00902350"/>
    <w:rsid w:val="0090336B"/>
    <w:rsid w:val="009053AA"/>
    <w:rsid w:val="00906939"/>
    <w:rsid w:val="00906A6A"/>
    <w:rsid w:val="00910B7D"/>
    <w:rsid w:val="00910F64"/>
    <w:rsid w:val="00911DFB"/>
    <w:rsid w:val="00912238"/>
    <w:rsid w:val="009139D9"/>
    <w:rsid w:val="00914AD8"/>
    <w:rsid w:val="0091591F"/>
    <w:rsid w:val="00915DBB"/>
    <w:rsid w:val="00916079"/>
    <w:rsid w:val="00916F05"/>
    <w:rsid w:val="00917CE9"/>
    <w:rsid w:val="00920BF2"/>
    <w:rsid w:val="0092100E"/>
    <w:rsid w:val="00921C19"/>
    <w:rsid w:val="00922010"/>
    <w:rsid w:val="00927AB4"/>
    <w:rsid w:val="009306D0"/>
    <w:rsid w:val="00931BD9"/>
    <w:rsid w:val="00934EBB"/>
    <w:rsid w:val="009353FB"/>
    <w:rsid w:val="00935E17"/>
    <w:rsid w:val="009368F3"/>
    <w:rsid w:val="00941636"/>
    <w:rsid w:val="00942DF6"/>
    <w:rsid w:val="00942F73"/>
    <w:rsid w:val="00943742"/>
    <w:rsid w:val="00943CFA"/>
    <w:rsid w:val="00945C05"/>
    <w:rsid w:val="00946945"/>
    <w:rsid w:val="00947713"/>
    <w:rsid w:val="0094775A"/>
    <w:rsid w:val="00947CBB"/>
    <w:rsid w:val="00950DE7"/>
    <w:rsid w:val="0095107B"/>
    <w:rsid w:val="00951CC0"/>
    <w:rsid w:val="00953920"/>
    <w:rsid w:val="00953D47"/>
    <w:rsid w:val="00953EDE"/>
    <w:rsid w:val="0095501E"/>
    <w:rsid w:val="009555AC"/>
    <w:rsid w:val="0095681E"/>
    <w:rsid w:val="009572D4"/>
    <w:rsid w:val="009574E7"/>
    <w:rsid w:val="00957634"/>
    <w:rsid w:val="00961921"/>
    <w:rsid w:val="0096203C"/>
    <w:rsid w:val="00962598"/>
    <w:rsid w:val="009626A3"/>
    <w:rsid w:val="00963ACB"/>
    <w:rsid w:val="0096430A"/>
    <w:rsid w:val="00964AF4"/>
    <w:rsid w:val="0096554B"/>
    <w:rsid w:val="0096584A"/>
    <w:rsid w:val="0096680D"/>
    <w:rsid w:val="00967A08"/>
    <w:rsid w:val="00971F08"/>
    <w:rsid w:val="009744F3"/>
    <w:rsid w:val="009755F9"/>
    <w:rsid w:val="0097603D"/>
    <w:rsid w:val="00976949"/>
    <w:rsid w:val="00977F34"/>
    <w:rsid w:val="00980477"/>
    <w:rsid w:val="009833E2"/>
    <w:rsid w:val="00983D21"/>
    <w:rsid w:val="00983E46"/>
    <w:rsid w:val="00984C13"/>
    <w:rsid w:val="00984C97"/>
    <w:rsid w:val="00985253"/>
    <w:rsid w:val="009853B3"/>
    <w:rsid w:val="00990630"/>
    <w:rsid w:val="00991761"/>
    <w:rsid w:val="0099424B"/>
    <w:rsid w:val="00994DCA"/>
    <w:rsid w:val="009950B1"/>
    <w:rsid w:val="009960EC"/>
    <w:rsid w:val="0099630E"/>
    <w:rsid w:val="009970DD"/>
    <w:rsid w:val="00997E99"/>
    <w:rsid w:val="009A0FBA"/>
    <w:rsid w:val="009A1601"/>
    <w:rsid w:val="009A1936"/>
    <w:rsid w:val="009A1D46"/>
    <w:rsid w:val="009A3A7B"/>
    <w:rsid w:val="009A3BB6"/>
    <w:rsid w:val="009A462D"/>
    <w:rsid w:val="009A5CBA"/>
    <w:rsid w:val="009A6BFD"/>
    <w:rsid w:val="009B0D3C"/>
    <w:rsid w:val="009B1F30"/>
    <w:rsid w:val="009B25D3"/>
    <w:rsid w:val="009B3AC2"/>
    <w:rsid w:val="009B428B"/>
    <w:rsid w:val="009B4DF4"/>
    <w:rsid w:val="009B4EB5"/>
    <w:rsid w:val="009B564E"/>
    <w:rsid w:val="009B7E87"/>
    <w:rsid w:val="009C0169"/>
    <w:rsid w:val="009C403E"/>
    <w:rsid w:val="009D22A4"/>
    <w:rsid w:val="009D3F2B"/>
    <w:rsid w:val="009D411F"/>
    <w:rsid w:val="009D45AA"/>
    <w:rsid w:val="009D4E31"/>
    <w:rsid w:val="009D4FF0"/>
    <w:rsid w:val="009D703C"/>
    <w:rsid w:val="009D718F"/>
    <w:rsid w:val="009E068F"/>
    <w:rsid w:val="009E14E0"/>
    <w:rsid w:val="009E16DB"/>
    <w:rsid w:val="009E35DB"/>
    <w:rsid w:val="009E3844"/>
    <w:rsid w:val="009E47A3"/>
    <w:rsid w:val="009E6544"/>
    <w:rsid w:val="009E6857"/>
    <w:rsid w:val="009F08F3"/>
    <w:rsid w:val="009F271B"/>
    <w:rsid w:val="009F344F"/>
    <w:rsid w:val="009F50EB"/>
    <w:rsid w:val="009F521D"/>
    <w:rsid w:val="009F5232"/>
    <w:rsid w:val="00A0082D"/>
    <w:rsid w:val="00A012BE"/>
    <w:rsid w:val="00A0230B"/>
    <w:rsid w:val="00A02A36"/>
    <w:rsid w:val="00A031D8"/>
    <w:rsid w:val="00A048A8"/>
    <w:rsid w:val="00A04F49"/>
    <w:rsid w:val="00A10CE2"/>
    <w:rsid w:val="00A10FF9"/>
    <w:rsid w:val="00A12AAA"/>
    <w:rsid w:val="00A13341"/>
    <w:rsid w:val="00A13E54"/>
    <w:rsid w:val="00A14865"/>
    <w:rsid w:val="00A16226"/>
    <w:rsid w:val="00A17440"/>
    <w:rsid w:val="00A1765A"/>
    <w:rsid w:val="00A17F63"/>
    <w:rsid w:val="00A20444"/>
    <w:rsid w:val="00A2193B"/>
    <w:rsid w:val="00A2351A"/>
    <w:rsid w:val="00A23E93"/>
    <w:rsid w:val="00A2437A"/>
    <w:rsid w:val="00A252DC"/>
    <w:rsid w:val="00A25CBA"/>
    <w:rsid w:val="00A25DD2"/>
    <w:rsid w:val="00A264A9"/>
    <w:rsid w:val="00A264B8"/>
    <w:rsid w:val="00A26DCF"/>
    <w:rsid w:val="00A27785"/>
    <w:rsid w:val="00A30187"/>
    <w:rsid w:val="00A31B7D"/>
    <w:rsid w:val="00A32913"/>
    <w:rsid w:val="00A3448A"/>
    <w:rsid w:val="00A35A9F"/>
    <w:rsid w:val="00A36297"/>
    <w:rsid w:val="00A40696"/>
    <w:rsid w:val="00A41E2B"/>
    <w:rsid w:val="00A42D92"/>
    <w:rsid w:val="00A42DF1"/>
    <w:rsid w:val="00A45593"/>
    <w:rsid w:val="00A457FB"/>
    <w:rsid w:val="00A45AC5"/>
    <w:rsid w:val="00A45B74"/>
    <w:rsid w:val="00A46561"/>
    <w:rsid w:val="00A50C1F"/>
    <w:rsid w:val="00A522F5"/>
    <w:rsid w:val="00A524A2"/>
    <w:rsid w:val="00A52E1D"/>
    <w:rsid w:val="00A54105"/>
    <w:rsid w:val="00A55A4A"/>
    <w:rsid w:val="00A56A11"/>
    <w:rsid w:val="00A61499"/>
    <w:rsid w:val="00A61BC5"/>
    <w:rsid w:val="00A62A77"/>
    <w:rsid w:val="00A63483"/>
    <w:rsid w:val="00A657D7"/>
    <w:rsid w:val="00A660AC"/>
    <w:rsid w:val="00A67E6C"/>
    <w:rsid w:val="00A71B99"/>
    <w:rsid w:val="00A732AF"/>
    <w:rsid w:val="00A739D0"/>
    <w:rsid w:val="00A761D4"/>
    <w:rsid w:val="00A77192"/>
    <w:rsid w:val="00A77EC4"/>
    <w:rsid w:val="00A8118A"/>
    <w:rsid w:val="00A82345"/>
    <w:rsid w:val="00A8235E"/>
    <w:rsid w:val="00A827A4"/>
    <w:rsid w:val="00A844DE"/>
    <w:rsid w:val="00A84ABE"/>
    <w:rsid w:val="00A86768"/>
    <w:rsid w:val="00A877F0"/>
    <w:rsid w:val="00A87D73"/>
    <w:rsid w:val="00A92117"/>
    <w:rsid w:val="00A923F1"/>
    <w:rsid w:val="00A92879"/>
    <w:rsid w:val="00A92FCF"/>
    <w:rsid w:val="00A93B7A"/>
    <w:rsid w:val="00A9442A"/>
    <w:rsid w:val="00A97536"/>
    <w:rsid w:val="00AA016F"/>
    <w:rsid w:val="00AA1ED6"/>
    <w:rsid w:val="00AA1EF1"/>
    <w:rsid w:val="00AA2B8B"/>
    <w:rsid w:val="00AA4948"/>
    <w:rsid w:val="00AA51D6"/>
    <w:rsid w:val="00AA5FA4"/>
    <w:rsid w:val="00AA6A8D"/>
    <w:rsid w:val="00AA7BAE"/>
    <w:rsid w:val="00AA7BED"/>
    <w:rsid w:val="00AA7E35"/>
    <w:rsid w:val="00AB0BC8"/>
    <w:rsid w:val="00AB11CA"/>
    <w:rsid w:val="00AB14D9"/>
    <w:rsid w:val="00AB363C"/>
    <w:rsid w:val="00AB43AB"/>
    <w:rsid w:val="00AB4AB8"/>
    <w:rsid w:val="00AB5052"/>
    <w:rsid w:val="00AB5B42"/>
    <w:rsid w:val="00AB655E"/>
    <w:rsid w:val="00AC007F"/>
    <w:rsid w:val="00AC2ECD"/>
    <w:rsid w:val="00AC3119"/>
    <w:rsid w:val="00AC49FB"/>
    <w:rsid w:val="00AC541B"/>
    <w:rsid w:val="00AC5A10"/>
    <w:rsid w:val="00AC6714"/>
    <w:rsid w:val="00AC714D"/>
    <w:rsid w:val="00AD0AA3"/>
    <w:rsid w:val="00AD3B89"/>
    <w:rsid w:val="00AD3F94"/>
    <w:rsid w:val="00AD4A5A"/>
    <w:rsid w:val="00AD6985"/>
    <w:rsid w:val="00AD6E67"/>
    <w:rsid w:val="00AD7E21"/>
    <w:rsid w:val="00AE0B42"/>
    <w:rsid w:val="00AE27AC"/>
    <w:rsid w:val="00AE32D5"/>
    <w:rsid w:val="00AE40E0"/>
    <w:rsid w:val="00AE4DBA"/>
    <w:rsid w:val="00AE4F07"/>
    <w:rsid w:val="00AF1C5D"/>
    <w:rsid w:val="00AF207F"/>
    <w:rsid w:val="00AF42D7"/>
    <w:rsid w:val="00AF537B"/>
    <w:rsid w:val="00AF7540"/>
    <w:rsid w:val="00B006FE"/>
    <w:rsid w:val="00B007CB"/>
    <w:rsid w:val="00B00F78"/>
    <w:rsid w:val="00B02AA9"/>
    <w:rsid w:val="00B02FA3"/>
    <w:rsid w:val="00B0453D"/>
    <w:rsid w:val="00B05084"/>
    <w:rsid w:val="00B0697A"/>
    <w:rsid w:val="00B07DF3"/>
    <w:rsid w:val="00B100D4"/>
    <w:rsid w:val="00B1039E"/>
    <w:rsid w:val="00B10C10"/>
    <w:rsid w:val="00B157F9"/>
    <w:rsid w:val="00B20256"/>
    <w:rsid w:val="00B20A66"/>
    <w:rsid w:val="00B20D09"/>
    <w:rsid w:val="00B227B5"/>
    <w:rsid w:val="00B22803"/>
    <w:rsid w:val="00B23C50"/>
    <w:rsid w:val="00B24169"/>
    <w:rsid w:val="00B2586D"/>
    <w:rsid w:val="00B25B22"/>
    <w:rsid w:val="00B2763F"/>
    <w:rsid w:val="00B27AAC"/>
    <w:rsid w:val="00B30929"/>
    <w:rsid w:val="00B31669"/>
    <w:rsid w:val="00B32DA1"/>
    <w:rsid w:val="00B34870"/>
    <w:rsid w:val="00B34A7B"/>
    <w:rsid w:val="00B34E9F"/>
    <w:rsid w:val="00B3621A"/>
    <w:rsid w:val="00B372AA"/>
    <w:rsid w:val="00B3787A"/>
    <w:rsid w:val="00B40445"/>
    <w:rsid w:val="00B409E0"/>
    <w:rsid w:val="00B40D16"/>
    <w:rsid w:val="00B41888"/>
    <w:rsid w:val="00B438B6"/>
    <w:rsid w:val="00B43F85"/>
    <w:rsid w:val="00B44AEB"/>
    <w:rsid w:val="00B45A52"/>
    <w:rsid w:val="00B46175"/>
    <w:rsid w:val="00B46A58"/>
    <w:rsid w:val="00B46ED5"/>
    <w:rsid w:val="00B50EE0"/>
    <w:rsid w:val="00B542A4"/>
    <w:rsid w:val="00B548B7"/>
    <w:rsid w:val="00B56F35"/>
    <w:rsid w:val="00B60EA0"/>
    <w:rsid w:val="00B623F5"/>
    <w:rsid w:val="00B63624"/>
    <w:rsid w:val="00B63EA9"/>
    <w:rsid w:val="00B64F83"/>
    <w:rsid w:val="00B651A5"/>
    <w:rsid w:val="00B65507"/>
    <w:rsid w:val="00B65886"/>
    <w:rsid w:val="00B66314"/>
    <w:rsid w:val="00B664C7"/>
    <w:rsid w:val="00B671AD"/>
    <w:rsid w:val="00B713B9"/>
    <w:rsid w:val="00B71AA2"/>
    <w:rsid w:val="00B739F6"/>
    <w:rsid w:val="00B73BAA"/>
    <w:rsid w:val="00B74453"/>
    <w:rsid w:val="00B74683"/>
    <w:rsid w:val="00B75398"/>
    <w:rsid w:val="00B7606A"/>
    <w:rsid w:val="00B77CEF"/>
    <w:rsid w:val="00B81A6C"/>
    <w:rsid w:val="00B841FD"/>
    <w:rsid w:val="00B85854"/>
    <w:rsid w:val="00B85DE5"/>
    <w:rsid w:val="00B90F73"/>
    <w:rsid w:val="00B93B59"/>
    <w:rsid w:val="00B9406A"/>
    <w:rsid w:val="00B94F41"/>
    <w:rsid w:val="00B95A4D"/>
    <w:rsid w:val="00B9704F"/>
    <w:rsid w:val="00BA056E"/>
    <w:rsid w:val="00BA0A57"/>
    <w:rsid w:val="00BA2280"/>
    <w:rsid w:val="00BA2A08"/>
    <w:rsid w:val="00BA3F20"/>
    <w:rsid w:val="00BA56D2"/>
    <w:rsid w:val="00BA76E0"/>
    <w:rsid w:val="00BB1177"/>
    <w:rsid w:val="00BB294E"/>
    <w:rsid w:val="00BB2A25"/>
    <w:rsid w:val="00BB4097"/>
    <w:rsid w:val="00BB51E9"/>
    <w:rsid w:val="00BB54D4"/>
    <w:rsid w:val="00BC045B"/>
    <w:rsid w:val="00BC0FDC"/>
    <w:rsid w:val="00BC1BB8"/>
    <w:rsid w:val="00BC3053"/>
    <w:rsid w:val="00BC4C49"/>
    <w:rsid w:val="00BC4D2E"/>
    <w:rsid w:val="00BC53AE"/>
    <w:rsid w:val="00BC5C74"/>
    <w:rsid w:val="00BC6BDB"/>
    <w:rsid w:val="00BD1C7F"/>
    <w:rsid w:val="00BD3226"/>
    <w:rsid w:val="00BD3EB3"/>
    <w:rsid w:val="00BD48AC"/>
    <w:rsid w:val="00BD5F1A"/>
    <w:rsid w:val="00BE1234"/>
    <w:rsid w:val="00BE2EB2"/>
    <w:rsid w:val="00BE2FA6"/>
    <w:rsid w:val="00BE333F"/>
    <w:rsid w:val="00BE5661"/>
    <w:rsid w:val="00BE7406"/>
    <w:rsid w:val="00BE7603"/>
    <w:rsid w:val="00BE78B3"/>
    <w:rsid w:val="00BF0BF7"/>
    <w:rsid w:val="00BF2E9A"/>
    <w:rsid w:val="00BF3279"/>
    <w:rsid w:val="00BF3CE0"/>
    <w:rsid w:val="00BF6997"/>
    <w:rsid w:val="00BF6ACF"/>
    <w:rsid w:val="00BF74C7"/>
    <w:rsid w:val="00C015F1"/>
    <w:rsid w:val="00C01F33"/>
    <w:rsid w:val="00C02187"/>
    <w:rsid w:val="00C02CC6"/>
    <w:rsid w:val="00C040F7"/>
    <w:rsid w:val="00C044AB"/>
    <w:rsid w:val="00C04644"/>
    <w:rsid w:val="00C05706"/>
    <w:rsid w:val="00C07377"/>
    <w:rsid w:val="00C10478"/>
    <w:rsid w:val="00C11026"/>
    <w:rsid w:val="00C11BB9"/>
    <w:rsid w:val="00C12107"/>
    <w:rsid w:val="00C129E4"/>
    <w:rsid w:val="00C14722"/>
    <w:rsid w:val="00C14AFA"/>
    <w:rsid w:val="00C14D4B"/>
    <w:rsid w:val="00C154BB"/>
    <w:rsid w:val="00C1718F"/>
    <w:rsid w:val="00C17C2B"/>
    <w:rsid w:val="00C215D9"/>
    <w:rsid w:val="00C242FA"/>
    <w:rsid w:val="00C245FD"/>
    <w:rsid w:val="00C2621D"/>
    <w:rsid w:val="00C268E6"/>
    <w:rsid w:val="00C26CB6"/>
    <w:rsid w:val="00C26E9B"/>
    <w:rsid w:val="00C27460"/>
    <w:rsid w:val="00C279B5"/>
    <w:rsid w:val="00C27C45"/>
    <w:rsid w:val="00C32CDD"/>
    <w:rsid w:val="00C3527A"/>
    <w:rsid w:val="00C3719D"/>
    <w:rsid w:val="00C37CB2"/>
    <w:rsid w:val="00C43727"/>
    <w:rsid w:val="00C473A5"/>
    <w:rsid w:val="00C539DA"/>
    <w:rsid w:val="00C54345"/>
    <w:rsid w:val="00C54995"/>
    <w:rsid w:val="00C54D41"/>
    <w:rsid w:val="00C60783"/>
    <w:rsid w:val="00C64672"/>
    <w:rsid w:val="00C653DA"/>
    <w:rsid w:val="00C65A49"/>
    <w:rsid w:val="00C66AF6"/>
    <w:rsid w:val="00C67081"/>
    <w:rsid w:val="00C6709C"/>
    <w:rsid w:val="00C67196"/>
    <w:rsid w:val="00C67DEB"/>
    <w:rsid w:val="00C70697"/>
    <w:rsid w:val="00C70ADB"/>
    <w:rsid w:val="00C71789"/>
    <w:rsid w:val="00C71853"/>
    <w:rsid w:val="00C72093"/>
    <w:rsid w:val="00C72EF4"/>
    <w:rsid w:val="00C73266"/>
    <w:rsid w:val="00C7365A"/>
    <w:rsid w:val="00C73765"/>
    <w:rsid w:val="00C739E7"/>
    <w:rsid w:val="00C744FE"/>
    <w:rsid w:val="00C75D2F"/>
    <w:rsid w:val="00C767BE"/>
    <w:rsid w:val="00C76B2F"/>
    <w:rsid w:val="00C76E3C"/>
    <w:rsid w:val="00C81115"/>
    <w:rsid w:val="00C81568"/>
    <w:rsid w:val="00C825EC"/>
    <w:rsid w:val="00C82822"/>
    <w:rsid w:val="00C83332"/>
    <w:rsid w:val="00C84EC4"/>
    <w:rsid w:val="00C862AA"/>
    <w:rsid w:val="00C867CA"/>
    <w:rsid w:val="00C9027A"/>
    <w:rsid w:val="00C90338"/>
    <w:rsid w:val="00C9068E"/>
    <w:rsid w:val="00C9229B"/>
    <w:rsid w:val="00C92623"/>
    <w:rsid w:val="00C92FD3"/>
    <w:rsid w:val="00C93814"/>
    <w:rsid w:val="00C93C4B"/>
    <w:rsid w:val="00C94066"/>
    <w:rsid w:val="00C944AB"/>
    <w:rsid w:val="00C95B40"/>
    <w:rsid w:val="00C971E1"/>
    <w:rsid w:val="00CA0030"/>
    <w:rsid w:val="00CA0AD0"/>
    <w:rsid w:val="00CA1ED8"/>
    <w:rsid w:val="00CA2642"/>
    <w:rsid w:val="00CA2B23"/>
    <w:rsid w:val="00CA47D6"/>
    <w:rsid w:val="00CA59AA"/>
    <w:rsid w:val="00CA5D4C"/>
    <w:rsid w:val="00CA6EDA"/>
    <w:rsid w:val="00CA7971"/>
    <w:rsid w:val="00CB0DD8"/>
    <w:rsid w:val="00CB1F63"/>
    <w:rsid w:val="00CB3066"/>
    <w:rsid w:val="00CB44D7"/>
    <w:rsid w:val="00CB4E64"/>
    <w:rsid w:val="00CB6AF8"/>
    <w:rsid w:val="00CB7170"/>
    <w:rsid w:val="00CC040E"/>
    <w:rsid w:val="00CC111F"/>
    <w:rsid w:val="00CC2011"/>
    <w:rsid w:val="00CC3EA0"/>
    <w:rsid w:val="00CC63D1"/>
    <w:rsid w:val="00CC79B7"/>
    <w:rsid w:val="00CC7B45"/>
    <w:rsid w:val="00CD1188"/>
    <w:rsid w:val="00CD21F2"/>
    <w:rsid w:val="00CD2ED1"/>
    <w:rsid w:val="00CD337B"/>
    <w:rsid w:val="00CD4AA8"/>
    <w:rsid w:val="00CD4BD4"/>
    <w:rsid w:val="00CD5CCD"/>
    <w:rsid w:val="00CD5DAC"/>
    <w:rsid w:val="00CE0424"/>
    <w:rsid w:val="00CE0F98"/>
    <w:rsid w:val="00CE580D"/>
    <w:rsid w:val="00CE7561"/>
    <w:rsid w:val="00CF1354"/>
    <w:rsid w:val="00CF3B1F"/>
    <w:rsid w:val="00CF3BF6"/>
    <w:rsid w:val="00CF625B"/>
    <w:rsid w:val="00CF65AD"/>
    <w:rsid w:val="00CF687E"/>
    <w:rsid w:val="00D0094E"/>
    <w:rsid w:val="00D02819"/>
    <w:rsid w:val="00D0349B"/>
    <w:rsid w:val="00D049EE"/>
    <w:rsid w:val="00D0517E"/>
    <w:rsid w:val="00D06F55"/>
    <w:rsid w:val="00D10249"/>
    <w:rsid w:val="00D10474"/>
    <w:rsid w:val="00D10B2F"/>
    <w:rsid w:val="00D11117"/>
    <w:rsid w:val="00D115C3"/>
    <w:rsid w:val="00D11897"/>
    <w:rsid w:val="00D13135"/>
    <w:rsid w:val="00D13E4E"/>
    <w:rsid w:val="00D142D8"/>
    <w:rsid w:val="00D2121E"/>
    <w:rsid w:val="00D2132A"/>
    <w:rsid w:val="00D239A7"/>
    <w:rsid w:val="00D23F47"/>
    <w:rsid w:val="00D274B5"/>
    <w:rsid w:val="00D3422A"/>
    <w:rsid w:val="00D34684"/>
    <w:rsid w:val="00D36C3B"/>
    <w:rsid w:val="00D36E71"/>
    <w:rsid w:val="00D37D87"/>
    <w:rsid w:val="00D37E95"/>
    <w:rsid w:val="00D404B7"/>
    <w:rsid w:val="00D40B33"/>
    <w:rsid w:val="00D4318F"/>
    <w:rsid w:val="00D438BF"/>
    <w:rsid w:val="00D440F8"/>
    <w:rsid w:val="00D455E1"/>
    <w:rsid w:val="00D46830"/>
    <w:rsid w:val="00D469E2"/>
    <w:rsid w:val="00D5162B"/>
    <w:rsid w:val="00D546FF"/>
    <w:rsid w:val="00D55447"/>
    <w:rsid w:val="00D55AD5"/>
    <w:rsid w:val="00D576CA"/>
    <w:rsid w:val="00D61AF5"/>
    <w:rsid w:val="00D61EBF"/>
    <w:rsid w:val="00D63E85"/>
    <w:rsid w:val="00D652B5"/>
    <w:rsid w:val="00D66155"/>
    <w:rsid w:val="00D66D1E"/>
    <w:rsid w:val="00D708B0"/>
    <w:rsid w:val="00D70B35"/>
    <w:rsid w:val="00D77B1D"/>
    <w:rsid w:val="00D8021F"/>
    <w:rsid w:val="00D80232"/>
    <w:rsid w:val="00D80383"/>
    <w:rsid w:val="00D81CD3"/>
    <w:rsid w:val="00D823C6"/>
    <w:rsid w:val="00D8327F"/>
    <w:rsid w:val="00D85081"/>
    <w:rsid w:val="00D86CA3"/>
    <w:rsid w:val="00D871CE"/>
    <w:rsid w:val="00D9196D"/>
    <w:rsid w:val="00D92982"/>
    <w:rsid w:val="00D94628"/>
    <w:rsid w:val="00DA305E"/>
    <w:rsid w:val="00DA5417"/>
    <w:rsid w:val="00DA56E8"/>
    <w:rsid w:val="00DA7039"/>
    <w:rsid w:val="00DB0519"/>
    <w:rsid w:val="00DB0A9F"/>
    <w:rsid w:val="00DB0CF4"/>
    <w:rsid w:val="00DB2243"/>
    <w:rsid w:val="00DB2845"/>
    <w:rsid w:val="00DB2D67"/>
    <w:rsid w:val="00DB377D"/>
    <w:rsid w:val="00DB7F11"/>
    <w:rsid w:val="00DC249B"/>
    <w:rsid w:val="00DC2D36"/>
    <w:rsid w:val="00DC30CA"/>
    <w:rsid w:val="00DC3E48"/>
    <w:rsid w:val="00DC53EF"/>
    <w:rsid w:val="00DC5EAB"/>
    <w:rsid w:val="00DC6C70"/>
    <w:rsid w:val="00DC75AE"/>
    <w:rsid w:val="00DD3601"/>
    <w:rsid w:val="00DD3997"/>
    <w:rsid w:val="00DD409E"/>
    <w:rsid w:val="00DE2207"/>
    <w:rsid w:val="00DE27E3"/>
    <w:rsid w:val="00DE4FC0"/>
    <w:rsid w:val="00DE5608"/>
    <w:rsid w:val="00DE5796"/>
    <w:rsid w:val="00DE58D0"/>
    <w:rsid w:val="00DE654F"/>
    <w:rsid w:val="00DF0ADC"/>
    <w:rsid w:val="00DF0B6E"/>
    <w:rsid w:val="00DF15E0"/>
    <w:rsid w:val="00DF1A7B"/>
    <w:rsid w:val="00DF37A0"/>
    <w:rsid w:val="00E0109F"/>
    <w:rsid w:val="00E0535C"/>
    <w:rsid w:val="00E057B9"/>
    <w:rsid w:val="00E10E91"/>
    <w:rsid w:val="00E110E7"/>
    <w:rsid w:val="00E11B20"/>
    <w:rsid w:val="00E12534"/>
    <w:rsid w:val="00E136DE"/>
    <w:rsid w:val="00E15F83"/>
    <w:rsid w:val="00E17D78"/>
    <w:rsid w:val="00E17FA2"/>
    <w:rsid w:val="00E22330"/>
    <w:rsid w:val="00E26617"/>
    <w:rsid w:val="00E30B5A"/>
    <w:rsid w:val="00E3123D"/>
    <w:rsid w:val="00E31461"/>
    <w:rsid w:val="00E31D43"/>
    <w:rsid w:val="00E32608"/>
    <w:rsid w:val="00E32F54"/>
    <w:rsid w:val="00E333DE"/>
    <w:rsid w:val="00E34188"/>
    <w:rsid w:val="00E34285"/>
    <w:rsid w:val="00E34A10"/>
    <w:rsid w:val="00E34B6E"/>
    <w:rsid w:val="00E35559"/>
    <w:rsid w:val="00E3723A"/>
    <w:rsid w:val="00E37860"/>
    <w:rsid w:val="00E41953"/>
    <w:rsid w:val="00E446F1"/>
    <w:rsid w:val="00E46886"/>
    <w:rsid w:val="00E47816"/>
    <w:rsid w:val="00E47AEF"/>
    <w:rsid w:val="00E47DD1"/>
    <w:rsid w:val="00E51147"/>
    <w:rsid w:val="00E518EB"/>
    <w:rsid w:val="00E521FB"/>
    <w:rsid w:val="00E525E5"/>
    <w:rsid w:val="00E5265F"/>
    <w:rsid w:val="00E53B75"/>
    <w:rsid w:val="00E54A49"/>
    <w:rsid w:val="00E54E3B"/>
    <w:rsid w:val="00E57565"/>
    <w:rsid w:val="00E60A52"/>
    <w:rsid w:val="00E618A3"/>
    <w:rsid w:val="00E63838"/>
    <w:rsid w:val="00E64434"/>
    <w:rsid w:val="00E66197"/>
    <w:rsid w:val="00E67C51"/>
    <w:rsid w:val="00E712B2"/>
    <w:rsid w:val="00E71430"/>
    <w:rsid w:val="00E7202E"/>
    <w:rsid w:val="00E72EFC"/>
    <w:rsid w:val="00E734A6"/>
    <w:rsid w:val="00E736A5"/>
    <w:rsid w:val="00E73AF5"/>
    <w:rsid w:val="00E73D0E"/>
    <w:rsid w:val="00E74B31"/>
    <w:rsid w:val="00E758EC"/>
    <w:rsid w:val="00E812C5"/>
    <w:rsid w:val="00E819F5"/>
    <w:rsid w:val="00E81E61"/>
    <w:rsid w:val="00E8234C"/>
    <w:rsid w:val="00E83AA9"/>
    <w:rsid w:val="00E85928"/>
    <w:rsid w:val="00E87411"/>
    <w:rsid w:val="00E87822"/>
    <w:rsid w:val="00E90395"/>
    <w:rsid w:val="00E90E49"/>
    <w:rsid w:val="00E917F9"/>
    <w:rsid w:val="00E9291C"/>
    <w:rsid w:val="00E92E82"/>
    <w:rsid w:val="00E93FFE"/>
    <w:rsid w:val="00E94C89"/>
    <w:rsid w:val="00E94F8A"/>
    <w:rsid w:val="00E9734E"/>
    <w:rsid w:val="00EA1D36"/>
    <w:rsid w:val="00EA5F34"/>
    <w:rsid w:val="00EA7600"/>
    <w:rsid w:val="00EA7A41"/>
    <w:rsid w:val="00EB077B"/>
    <w:rsid w:val="00EB4EA2"/>
    <w:rsid w:val="00EC1FA1"/>
    <w:rsid w:val="00EC24D5"/>
    <w:rsid w:val="00EC2530"/>
    <w:rsid w:val="00EC27C6"/>
    <w:rsid w:val="00EC3695"/>
    <w:rsid w:val="00EC4207"/>
    <w:rsid w:val="00EC43E8"/>
    <w:rsid w:val="00EC5653"/>
    <w:rsid w:val="00EC71CE"/>
    <w:rsid w:val="00EC72AB"/>
    <w:rsid w:val="00ED0686"/>
    <w:rsid w:val="00ED1006"/>
    <w:rsid w:val="00ED3ADF"/>
    <w:rsid w:val="00ED53B7"/>
    <w:rsid w:val="00ED5446"/>
    <w:rsid w:val="00ED59A3"/>
    <w:rsid w:val="00ED637C"/>
    <w:rsid w:val="00EE090C"/>
    <w:rsid w:val="00EE0AC6"/>
    <w:rsid w:val="00EE3575"/>
    <w:rsid w:val="00EF18FE"/>
    <w:rsid w:val="00EF1900"/>
    <w:rsid w:val="00EF29CC"/>
    <w:rsid w:val="00EF3569"/>
    <w:rsid w:val="00EF4484"/>
    <w:rsid w:val="00EF5787"/>
    <w:rsid w:val="00EF60D0"/>
    <w:rsid w:val="00EF6DAF"/>
    <w:rsid w:val="00EF7C34"/>
    <w:rsid w:val="00F02290"/>
    <w:rsid w:val="00F02685"/>
    <w:rsid w:val="00F0528D"/>
    <w:rsid w:val="00F05C0C"/>
    <w:rsid w:val="00F06C67"/>
    <w:rsid w:val="00F06DFD"/>
    <w:rsid w:val="00F071D1"/>
    <w:rsid w:val="00F07533"/>
    <w:rsid w:val="00F0778D"/>
    <w:rsid w:val="00F1047C"/>
    <w:rsid w:val="00F10629"/>
    <w:rsid w:val="00F13136"/>
    <w:rsid w:val="00F146A1"/>
    <w:rsid w:val="00F1481A"/>
    <w:rsid w:val="00F14B39"/>
    <w:rsid w:val="00F15037"/>
    <w:rsid w:val="00F15FA5"/>
    <w:rsid w:val="00F16F65"/>
    <w:rsid w:val="00F17973"/>
    <w:rsid w:val="00F20273"/>
    <w:rsid w:val="00F209B7"/>
    <w:rsid w:val="00F20A42"/>
    <w:rsid w:val="00F20F5C"/>
    <w:rsid w:val="00F2376F"/>
    <w:rsid w:val="00F243D8"/>
    <w:rsid w:val="00F27884"/>
    <w:rsid w:val="00F30828"/>
    <w:rsid w:val="00F310E2"/>
    <w:rsid w:val="00F313D6"/>
    <w:rsid w:val="00F336BA"/>
    <w:rsid w:val="00F33BAB"/>
    <w:rsid w:val="00F34B6E"/>
    <w:rsid w:val="00F40F0C"/>
    <w:rsid w:val="00F42A13"/>
    <w:rsid w:val="00F46CC3"/>
    <w:rsid w:val="00F4747B"/>
    <w:rsid w:val="00F4766C"/>
    <w:rsid w:val="00F5060E"/>
    <w:rsid w:val="00F507D1"/>
    <w:rsid w:val="00F519CE"/>
    <w:rsid w:val="00F51ADA"/>
    <w:rsid w:val="00F51F75"/>
    <w:rsid w:val="00F546A3"/>
    <w:rsid w:val="00F56EE0"/>
    <w:rsid w:val="00F60203"/>
    <w:rsid w:val="00F607C5"/>
    <w:rsid w:val="00F60880"/>
    <w:rsid w:val="00F60DEA"/>
    <w:rsid w:val="00F62D29"/>
    <w:rsid w:val="00F62EA9"/>
    <w:rsid w:val="00F6302A"/>
    <w:rsid w:val="00F63950"/>
    <w:rsid w:val="00F64C2B"/>
    <w:rsid w:val="00F651BE"/>
    <w:rsid w:val="00F67F53"/>
    <w:rsid w:val="00F703BE"/>
    <w:rsid w:val="00F70BCA"/>
    <w:rsid w:val="00F71C11"/>
    <w:rsid w:val="00F71F69"/>
    <w:rsid w:val="00F72B72"/>
    <w:rsid w:val="00F7403F"/>
    <w:rsid w:val="00F74055"/>
    <w:rsid w:val="00F74684"/>
    <w:rsid w:val="00F74898"/>
    <w:rsid w:val="00F74BB9"/>
    <w:rsid w:val="00F75582"/>
    <w:rsid w:val="00F769FA"/>
    <w:rsid w:val="00F76EFA"/>
    <w:rsid w:val="00F804BE"/>
    <w:rsid w:val="00F817CE"/>
    <w:rsid w:val="00F8213C"/>
    <w:rsid w:val="00F838C8"/>
    <w:rsid w:val="00F8456C"/>
    <w:rsid w:val="00F859D8"/>
    <w:rsid w:val="00F862B4"/>
    <w:rsid w:val="00F868F5"/>
    <w:rsid w:val="00F86CA6"/>
    <w:rsid w:val="00F870F0"/>
    <w:rsid w:val="00F9056A"/>
    <w:rsid w:val="00F90F8D"/>
    <w:rsid w:val="00F91C8F"/>
    <w:rsid w:val="00F91DA1"/>
    <w:rsid w:val="00F92782"/>
    <w:rsid w:val="00F93AA9"/>
    <w:rsid w:val="00F95360"/>
    <w:rsid w:val="00F96985"/>
    <w:rsid w:val="00F97838"/>
    <w:rsid w:val="00FA04EF"/>
    <w:rsid w:val="00FA0D17"/>
    <w:rsid w:val="00FA2BB3"/>
    <w:rsid w:val="00FA61AA"/>
    <w:rsid w:val="00FB0BAB"/>
    <w:rsid w:val="00FB14C7"/>
    <w:rsid w:val="00FB16C8"/>
    <w:rsid w:val="00FB236A"/>
    <w:rsid w:val="00FB4C80"/>
    <w:rsid w:val="00FB673F"/>
    <w:rsid w:val="00FB6A6A"/>
    <w:rsid w:val="00FB78E5"/>
    <w:rsid w:val="00FB7BA8"/>
    <w:rsid w:val="00FB7BDA"/>
    <w:rsid w:val="00FC1346"/>
    <w:rsid w:val="00FC59BF"/>
    <w:rsid w:val="00FC7429"/>
    <w:rsid w:val="00FC7927"/>
    <w:rsid w:val="00FC7ADD"/>
    <w:rsid w:val="00FD07F6"/>
    <w:rsid w:val="00FD1974"/>
    <w:rsid w:val="00FD1EC8"/>
    <w:rsid w:val="00FD25D7"/>
    <w:rsid w:val="00FD2BCD"/>
    <w:rsid w:val="00FD47ED"/>
    <w:rsid w:val="00FD68B4"/>
    <w:rsid w:val="00FD74DB"/>
    <w:rsid w:val="00FD7660"/>
    <w:rsid w:val="00FD7DA7"/>
    <w:rsid w:val="00FE0655"/>
    <w:rsid w:val="00FE0839"/>
    <w:rsid w:val="00FE2365"/>
    <w:rsid w:val="00FE3776"/>
    <w:rsid w:val="00FE37D7"/>
    <w:rsid w:val="00FE4BB6"/>
    <w:rsid w:val="00FE4C7B"/>
    <w:rsid w:val="00FE7336"/>
    <w:rsid w:val="00FE787C"/>
    <w:rsid w:val="00FE7A54"/>
    <w:rsid w:val="00FF10D5"/>
    <w:rsid w:val="00FF45A5"/>
    <w:rsid w:val="00FF5247"/>
    <w:rsid w:val="00FF5C91"/>
    <w:rsid w:val="00FF74DA"/>
    <w:rsid w:val="290066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9FCB0"/>
  <w15:chartTrackingRefBased/>
  <w15:docId w15:val="{EBEDDEDD-9FE3-4C19-9024-C1D76B8A1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table" w:customStyle="1" w:styleId="TableGrid1">
    <w:name w:val="Table Grid1"/>
    <w:basedOn w:val="TableNormal"/>
    <w:next w:val="TableGrid"/>
    <w:uiPriority w:val="39"/>
    <w:rsid w:val="00E10E9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1C5A"/>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A7BED"/>
    <w:pPr>
      <w:autoSpaceDE w:val="0"/>
      <w:autoSpaceDN w:val="0"/>
      <w:adjustRightInd w:val="0"/>
    </w:pPr>
    <w:rPr>
      <w:rFonts w:ascii="Arial" w:hAnsi="Arial" w:cs="Arial"/>
      <w:color w:val="000000"/>
      <w:sz w:val="24"/>
      <w:szCs w:val="24"/>
    </w:rPr>
  </w:style>
  <w:style w:type="table" w:styleId="GridTable2-Accent1">
    <w:name w:val="Grid Table 2 Accent 1"/>
    <w:basedOn w:val="TableNormal"/>
    <w:uiPriority w:val="47"/>
    <w:rsid w:val="004E7DF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8B3EA5"/>
    <w:rPr>
      <w:color w:val="2B579A"/>
      <w:shd w:val="clear" w:color="auto" w:fill="E1DFDD"/>
    </w:rPr>
  </w:style>
  <w:style w:type="paragraph" w:styleId="Revision">
    <w:name w:val="Revision"/>
    <w:hidden/>
    <w:uiPriority w:val="99"/>
    <w:semiHidden/>
    <w:rsid w:val="008B3EA5"/>
    <w:rPr>
      <w:rFonts w:ascii="Times New Roman" w:hAnsi="Times New Roman"/>
      <w:lang w:eastAsia="ja-JP"/>
    </w:rPr>
  </w:style>
  <w:style w:type="character" w:customStyle="1" w:styleId="apple-converted-space">
    <w:name w:val="apple-converted-space"/>
    <w:qFormat/>
    <w:rsid w:val="00CA0AD0"/>
  </w:style>
  <w:style w:type="paragraph" w:styleId="NormalWeb">
    <w:name w:val="Normal (Web)"/>
    <w:basedOn w:val="Normal"/>
    <w:uiPriority w:val="99"/>
    <w:unhideWhenUsed/>
    <w:qFormat/>
    <w:rsid w:val="00CA0AD0"/>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codeChar">
    <w:name w:val="code Char"/>
    <w:basedOn w:val="DefaultParagraphFont"/>
    <w:link w:val="code"/>
    <w:locked/>
    <w:rsid w:val="000A59D4"/>
    <w:rPr>
      <w:rFonts w:ascii="Consolas" w:hAnsi="Consolas"/>
      <w:shd w:val="clear" w:color="auto" w:fill="E7E6E6"/>
    </w:rPr>
  </w:style>
  <w:style w:type="paragraph" w:customStyle="1" w:styleId="code">
    <w:name w:val="code"/>
    <w:basedOn w:val="Normal"/>
    <w:link w:val="codeChar"/>
    <w:rsid w:val="000A59D4"/>
    <w:pPr>
      <w:shd w:val="clear" w:color="auto" w:fill="E7E6E6"/>
      <w:overflowPunct/>
      <w:autoSpaceDE/>
      <w:autoSpaceDN/>
      <w:adjustRightInd/>
      <w:spacing w:after="0"/>
      <w:textAlignment w:val="auto"/>
    </w:pPr>
    <w:rPr>
      <w:rFonts w:ascii="Consolas" w:hAnsi="Consola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2864">
      <w:bodyDiv w:val="1"/>
      <w:marLeft w:val="0"/>
      <w:marRight w:val="0"/>
      <w:marTop w:val="0"/>
      <w:marBottom w:val="0"/>
      <w:divBdr>
        <w:top w:val="none" w:sz="0" w:space="0" w:color="auto"/>
        <w:left w:val="none" w:sz="0" w:space="0" w:color="auto"/>
        <w:bottom w:val="none" w:sz="0" w:space="0" w:color="auto"/>
        <w:right w:val="none" w:sz="0" w:space="0" w:color="auto"/>
      </w:divBdr>
    </w:div>
    <w:div w:id="140386069">
      <w:bodyDiv w:val="1"/>
      <w:marLeft w:val="0"/>
      <w:marRight w:val="0"/>
      <w:marTop w:val="0"/>
      <w:marBottom w:val="0"/>
      <w:divBdr>
        <w:top w:val="none" w:sz="0" w:space="0" w:color="auto"/>
        <w:left w:val="none" w:sz="0" w:space="0" w:color="auto"/>
        <w:bottom w:val="none" w:sz="0" w:space="0" w:color="auto"/>
        <w:right w:val="none" w:sz="0" w:space="0" w:color="auto"/>
      </w:divBdr>
    </w:div>
    <w:div w:id="370345926">
      <w:bodyDiv w:val="1"/>
      <w:marLeft w:val="0"/>
      <w:marRight w:val="0"/>
      <w:marTop w:val="0"/>
      <w:marBottom w:val="0"/>
      <w:divBdr>
        <w:top w:val="none" w:sz="0" w:space="0" w:color="auto"/>
        <w:left w:val="none" w:sz="0" w:space="0" w:color="auto"/>
        <w:bottom w:val="none" w:sz="0" w:space="0" w:color="auto"/>
        <w:right w:val="none" w:sz="0" w:space="0" w:color="auto"/>
      </w:divBdr>
    </w:div>
    <w:div w:id="378436784">
      <w:bodyDiv w:val="1"/>
      <w:marLeft w:val="0"/>
      <w:marRight w:val="0"/>
      <w:marTop w:val="0"/>
      <w:marBottom w:val="0"/>
      <w:divBdr>
        <w:top w:val="none" w:sz="0" w:space="0" w:color="auto"/>
        <w:left w:val="none" w:sz="0" w:space="0" w:color="auto"/>
        <w:bottom w:val="none" w:sz="0" w:space="0" w:color="auto"/>
        <w:right w:val="none" w:sz="0" w:space="0" w:color="auto"/>
      </w:divBdr>
    </w:div>
    <w:div w:id="721054965">
      <w:bodyDiv w:val="1"/>
      <w:marLeft w:val="0"/>
      <w:marRight w:val="0"/>
      <w:marTop w:val="0"/>
      <w:marBottom w:val="0"/>
      <w:divBdr>
        <w:top w:val="none" w:sz="0" w:space="0" w:color="auto"/>
        <w:left w:val="none" w:sz="0" w:space="0" w:color="auto"/>
        <w:bottom w:val="none" w:sz="0" w:space="0" w:color="auto"/>
        <w:right w:val="none" w:sz="0" w:space="0" w:color="auto"/>
      </w:divBdr>
    </w:div>
    <w:div w:id="824081234">
      <w:bodyDiv w:val="1"/>
      <w:marLeft w:val="0"/>
      <w:marRight w:val="0"/>
      <w:marTop w:val="0"/>
      <w:marBottom w:val="0"/>
      <w:divBdr>
        <w:top w:val="none" w:sz="0" w:space="0" w:color="auto"/>
        <w:left w:val="none" w:sz="0" w:space="0" w:color="auto"/>
        <w:bottom w:val="none" w:sz="0" w:space="0" w:color="auto"/>
        <w:right w:val="none" w:sz="0" w:space="0" w:color="auto"/>
      </w:divBdr>
    </w:div>
    <w:div w:id="1582369374">
      <w:bodyDiv w:val="1"/>
      <w:marLeft w:val="0"/>
      <w:marRight w:val="0"/>
      <w:marTop w:val="0"/>
      <w:marBottom w:val="0"/>
      <w:divBdr>
        <w:top w:val="none" w:sz="0" w:space="0" w:color="auto"/>
        <w:left w:val="none" w:sz="0" w:space="0" w:color="auto"/>
        <w:bottom w:val="none" w:sz="0" w:space="0" w:color="auto"/>
        <w:right w:val="none" w:sz="0" w:space="0" w:color="auto"/>
      </w:divBdr>
    </w:div>
    <w:div w:id="1652949310">
      <w:bodyDiv w:val="1"/>
      <w:marLeft w:val="0"/>
      <w:marRight w:val="0"/>
      <w:marTop w:val="0"/>
      <w:marBottom w:val="0"/>
      <w:divBdr>
        <w:top w:val="none" w:sz="0" w:space="0" w:color="auto"/>
        <w:left w:val="none" w:sz="0" w:space="0" w:color="auto"/>
        <w:bottom w:val="none" w:sz="0" w:space="0" w:color="auto"/>
        <w:right w:val="none" w:sz="0" w:space="0" w:color="auto"/>
      </w:divBdr>
    </w:div>
    <w:div w:id="1714957385">
      <w:bodyDiv w:val="1"/>
      <w:marLeft w:val="0"/>
      <w:marRight w:val="0"/>
      <w:marTop w:val="0"/>
      <w:marBottom w:val="0"/>
      <w:divBdr>
        <w:top w:val="none" w:sz="0" w:space="0" w:color="auto"/>
        <w:left w:val="none" w:sz="0" w:space="0" w:color="auto"/>
        <w:bottom w:val="none" w:sz="0" w:space="0" w:color="auto"/>
        <w:right w:val="none" w:sz="0" w:space="0" w:color="auto"/>
      </w:divBdr>
    </w:div>
    <w:div w:id="183973170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Ericsson\SWEA%20-%20Dokument\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265F03B-7943-4FD7-BDCF-70F59A008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2384</TotalTime>
  <Pages>8</Pages>
  <Words>3195</Words>
  <Characters>18214</Characters>
  <Application>Microsoft Office Word</Application>
  <DocSecurity>0</DocSecurity>
  <Lines>364</Lines>
  <Paragraphs>267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21142</CharactersWithSpaces>
  <SharedDoc>false</SharedDoc>
  <HyperlinkBase/>
  <HLinks>
    <vt:vector size="144" baseType="variant">
      <vt:variant>
        <vt:i4>7274497</vt:i4>
      </vt:variant>
      <vt:variant>
        <vt:i4>111</vt:i4>
      </vt:variant>
      <vt:variant>
        <vt:i4>0</vt:i4>
      </vt:variant>
      <vt:variant>
        <vt:i4>5</vt:i4>
      </vt:variant>
      <vt:variant>
        <vt:lpwstr>https://www.3gpp.org/ftp/Specs/archive/38_series/38.321/38321-g60.zip</vt:lpwstr>
      </vt:variant>
      <vt:variant>
        <vt:lpwstr/>
      </vt:variant>
      <vt:variant>
        <vt:i4>7077982</vt:i4>
      </vt:variant>
      <vt:variant>
        <vt:i4>108</vt:i4>
      </vt:variant>
      <vt:variant>
        <vt:i4>0</vt:i4>
      </vt:variant>
      <vt:variant>
        <vt:i4>5</vt:i4>
      </vt:variant>
      <vt:variant>
        <vt:lpwstr>https://www.3gpp.org/ftp/TSG_RAN/TSG_RAN/TSGR_92e/Docs/RP-211347.zip</vt:lpwstr>
      </vt:variant>
      <vt:variant>
        <vt:lpwstr/>
      </vt:variant>
      <vt:variant>
        <vt:i4>6815834</vt:i4>
      </vt:variant>
      <vt:variant>
        <vt:i4>105</vt:i4>
      </vt:variant>
      <vt:variant>
        <vt:i4>0</vt:i4>
      </vt:variant>
      <vt:variant>
        <vt:i4>5</vt:i4>
      </vt:variant>
      <vt:variant>
        <vt:lpwstr>https://www.3gpp.org/ftp/tsg_ran/TSG_RAN/TSGR_93e/Docs/RP-212534.zip</vt:lpwstr>
      </vt:variant>
      <vt:variant>
        <vt:lpwstr/>
      </vt:variant>
      <vt:variant>
        <vt:i4>7012444</vt:i4>
      </vt:variant>
      <vt:variant>
        <vt:i4>102</vt:i4>
      </vt:variant>
      <vt:variant>
        <vt:i4>0</vt:i4>
      </vt:variant>
      <vt:variant>
        <vt:i4>5</vt:i4>
      </vt:variant>
      <vt:variant>
        <vt:lpwstr>https://www.3gpp.org/ftp/TSG_RAN/TSG_RAN/TSGR_92e/Docs/RP-211566.zip</vt:lpwstr>
      </vt:variant>
      <vt:variant>
        <vt:lpwstr/>
      </vt:variant>
      <vt:variant>
        <vt:i4>6815824</vt:i4>
      </vt:variant>
      <vt:variant>
        <vt:i4>99</vt:i4>
      </vt:variant>
      <vt:variant>
        <vt:i4>0</vt:i4>
      </vt:variant>
      <vt:variant>
        <vt:i4>5</vt:i4>
      </vt:variant>
      <vt:variant>
        <vt:lpwstr>https://www.3gpp.org/ftp/tsg_ran/TSG_RAN/TSGR_93e/Docs/RP-212594.zip</vt:lpwstr>
      </vt:variant>
      <vt:variant>
        <vt:lpwstr/>
      </vt:variant>
      <vt:variant>
        <vt:i4>6946906</vt:i4>
      </vt:variant>
      <vt:variant>
        <vt:i4>96</vt:i4>
      </vt:variant>
      <vt:variant>
        <vt:i4>0</vt:i4>
      </vt:variant>
      <vt:variant>
        <vt:i4>5</vt:i4>
      </vt:variant>
      <vt:variant>
        <vt:lpwstr>https://www.3gpp.org/ftp/tsg_ran/TSG_RAN/TSGR_91e/Docs/RP-210918.zip</vt:lpwstr>
      </vt:variant>
      <vt:variant>
        <vt:lpwstr/>
      </vt:variant>
      <vt:variant>
        <vt:i4>1441851</vt:i4>
      </vt:variant>
      <vt:variant>
        <vt:i4>92</vt:i4>
      </vt:variant>
      <vt:variant>
        <vt:i4>0</vt:i4>
      </vt:variant>
      <vt:variant>
        <vt:i4>5</vt:i4>
      </vt:variant>
      <vt:variant>
        <vt:lpwstr/>
      </vt:variant>
      <vt:variant>
        <vt:lpwstr>_Toc90647633</vt:lpwstr>
      </vt:variant>
      <vt:variant>
        <vt:i4>1507387</vt:i4>
      </vt:variant>
      <vt:variant>
        <vt:i4>89</vt:i4>
      </vt:variant>
      <vt:variant>
        <vt:i4>0</vt:i4>
      </vt:variant>
      <vt:variant>
        <vt:i4>5</vt:i4>
      </vt:variant>
      <vt:variant>
        <vt:lpwstr/>
      </vt:variant>
      <vt:variant>
        <vt:lpwstr>_Toc90647632</vt:lpwstr>
      </vt:variant>
      <vt:variant>
        <vt:i4>1310779</vt:i4>
      </vt:variant>
      <vt:variant>
        <vt:i4>86</vt:i4>
      </vt:variant>
      <vt:variant>
        <vt:i4>0</vt:i4>
      </vt:variant>
      <vt:variant>
        <vt:i4>5</vt:i4>
      </vt:variant>
      <vt:variant>
        <vt:lpwstr/>
      </vt:variant>
      <vt:variant>
        <vt:lpwstr>_Toc90647631</vt:lpwstr>
      </vt:variant>
      <vt:variant>
        <vt:i4>1376315</vt:i4>
      </vt:variant>
      <vt:variant>
        <vt:i4>83</vt:i4>
      </vt:variant>
      <vt:variant>
        <vt:i4>0</vt:i4>
      </vt:variant>
      <vt:variant>
        <vt:i4>5</vt:i4>
      </vt:variant>
      <vt:variant>
        <vt:lpwstr/>
      </vt:variant>
      <vt:variant>
        <vt:lpwstr>_Toc90647630</vt:lpwstr>
      </vt:variant>
      <vt:variant>
        <vt:i4>1835066</vt:i4>
      </vt:variant>
      <vt:variant>
        <vt:i4>80</vt:i4>
      </vt:variant>
      <vt:variant>
        <vt:i4>0</vt:i4>
      </vt:variant>
      <vt:variant>
        <vt:i4>5</vt:i4>
      </vt:variant>
      <vt:variant>
        <vt:lpwstr/>
      </vt:variant>
      <vt:variant>
        <vt:lpwstr>_Toc90647629</vt:lpwstr>
      </vt:variant>
      <vt:variant>
        <vt:i4>1900602</vt:i4>
      </vt:variant>
      <vt:variant>
        <vt:i4>77</vt:i4>
      </vt:variant>
      <vt:variant>
        <vt:i4>0</vt:i4>
      </vt:variant>
      <vt:variant>
        <vt:i4>5</vt:i4>
      </vt:variant>
      <vt:variant>
        <vt:lpwstr/>
      </vt:variant>
      <vt:variant>
        <vt:lpwstr>_Toc90647628</vt:lpwstr>
      </vt:variant>
      <vt:variant>
        <vt:i4>1179706</vt:i4>
      </vt:variant>
      <vt:variant>
        <vt:i4>74</vt:i4>
      </vt:variant>
      <vt:variant>
        <vt:i4>0</vt:i4>
      </vt:variant>
      <vt:variant>
        <vt:i4>5</vt:i4>
      </vt:variant>
      <vt:variant>
        <vt:lpwstr/>
      </vt:variant>
      <vt:variant>
        <vt:lpwstr>_Toc90647627</vt:lpwstr>
      </vt:variant>
      <vt:variant>
        <vt:i4>1245242</vt:i4>
      </vt:variant>
      <vt:variant>
        <vt:i4>71</vt:i4>
      </vt:variant>
      <vt:variant>
        <vt:i4>0</vt:i4>
      </vt:variant>
      <vt:variant>
        <vt:i4>5</vt:i4>
      </vt:variant>
      <vt:variant>
        <vt:lpwstr/>
      </vt:variant>
      <vt:variant>
        <vt:lpwstr>_Toc90647626</vt:lpwstr>
      </vt:variant>
      <vt:variant>
        <vt:i4>1048634</vt:i4>
      </vt:variant>
      <vt:variant>
        <vt:i4>68</vt:i4>
      </vt:variant>
      <vt:variant>
        <vt:i4>0</vt:i4>
      </vt:variant>
      <vt:variant>
        <vt:i4>5</vt:i4>
      </vt:variant>
      <vt:variant>
        <vt:lpwstr/>
      </vt:variant>
      <vt:variant>
        <vt:lpwstr>_Toc90647625</vt:lpwstr>
      </vt:variant>
      <vt:variant>
        <vt:i4>1114170</vt:i4>
      </vt:variant>
      <vt:variant>
        <vt:i4>65</vt:i4>
      </vt:variant>
      <vt:variant>
        <vt:i4>0</vt:i4>
      </vt:variant>
      <vt:variant>
        <vt:i4>5</vt:i4>
      </vt:variant>
      <vt:variant>
        <vt:lpwstr/>
      </vt:variant>
      <vt:variant>
        <vt:lpwstr>_Toc90647624</vt:lpwstr>
      </vt:variant>
      <vt:variant>
        <vt:i4>1441850</vt:i4>
      </vt:variant>
      <vt:variant>
        <vt:i4>62</vt:i4>
      </vt:variant>
      <vt:variant>
        <vt:i4>0</vt:i4>
      </vt:variant>
      <vt:variant>
        <vt:i4>5</vt:i4>
      </vt:variant>
      <vt:variant>
        <vt:lpwstr/>
      </vt:variant>
      <vt:variant>
        <vt:lpwstr>_Toc90647623</vt:lpwstr>
      </vt:variant>
      <vt:variant>
        <vt:i4>1507386</vt:i4>
      </vt:variant>
      <vt:variant>
        <vt:i4>59</vt:i4>
      </vt:variant>
      <vt:variant>
        <vt:i4>0</vt:i4>
      </vt:variant>
      <vt:variant>
        <vt:i4>5</vt:i4>
      </vt:variant>
      <vt:variant>
        <vt:lpwstr/>
      </vt:variant>
      <vt:variant>
        <vt:lpwstr>_Toc90647622</vt:lpwstr>
      </vt:variant>
      <vt:variant>
        <vt:i4>1310778</vt:i4>
      </vt:variant>
      <vt:variant>
        <vt:i4>56</vt:i4>
      </vt:variant>
      <vt:variant>
        <vt:i4>0</vt:i4>
      </vt:variant>
      <vt:variant>
        <vt:i4>5</vt:i4>
      </vt:variant>
      <vt:variant>
        <vt:lpwstr/>
      </vt:variant>
      <vt:variant>
        <vt:lpwstr>_Toc90647621</vt:lpwstr>
      </vt:variant>
      <vt:variant>
        <vt:i4>1376314</vt:i4>
      </vt:variant>
      <vt:variant>
        <vt:i4>53</vt:i4>
      </vt:variant>
      <vt:variant>
        <vt:i4>0</vt:i4>
      </vt:variant>
      <vt:variant>
        <vt:i4>5</vt:i4>
      </vt:variant>
      <vt:variant>
        <vt:lpwstr/>
      </vt:variant>
      <vt:variant>
        <vt:lpwstr>_Toc90647620</vt:lpwstr>
      </vt:variant>
      <vt:variant>
        <vt:i4>1835065</vt:i4>
      </vt:variant>
      <vt:variant>
        <vt:i4>50</vt:i4>
      </vt:variant>
      <vt:variant>
        <vt:i4>0</vt:i4>
      </vt:variant>
      <vt:variant>
        <vt:i4>5</vt:i4>
      </vt:variant>
      <vt:variant>
        <vt:lpwstr/>
      </vt:variant>
      <vt:variant>
        <vt:lpwstr>_Toc90647619</vt:lpwstr>
      </vt:variant>
      <vt:variant>
        <vt:i4>1900601</vt:i4>
      </vt:variant>
      <vt:variant>
        <vt:i4>44</vt:i4>
      </vt:variant>
      <vt:variant>
        <vt:i4>0</vt:i4>
      </vt:variant>
      <vt:variant>
        <vt:i4>5</vt:i4>
      </vt:variant>
      <vt:variant>
        <vt:lpwstr/>
      </vt:variant>
      <vt:variant>
        <vt:lpwstr>_Toc90647618</vt:lpwstr>
      </vt:variant>
      <vt:variant>
        <vt:i4>1179705</vt:i4>
      </vt:variant>
      <vt:variant>
        <vt:i4>41</vt:i4>
      </vt:variant>
      <vt:variant>
        <vt:i4>0</vt:i4>
      </vt:variant>
      <vt:variant>
        <vt:i4>5</vt:i4>
      </vt:variant>
      <vt:variant>
        <vt:lpwstr/>
      </vt:variant>
      <vt:variant>
        <vt:lpwstr>_Toc90647617</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Mattias</cp:lastModifiedBy>
  <cp:revision>335</cp:revision>
  <cp:lastPrinted>2008-02-01T10:09:00Z</cp:lastPrinted>
  <dcterms:created xsi:type="dcterms:W3CDTF">2021-06-29T21:40:00Z</dcterms:created>
  <dcterms:modified xsi:type="dcterms:W3CDTF">2022-01-11T10:31:00Z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